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before="0" w:after="0"/>
        <w:jc w:val="left"/>
        <w:rPr/>
      </w:pPr>
      <w:r>
        <w:rPr/>
      </w:r>
    </w:p>
    <w:tbl>
      <w:tblPr>
        <w:tblW w:w="1905" w:type="dxa"/>
        <w:jc w:val="center"/>
        <w:tblInd w:w="0" w:type="dxa"/>
        <w:tblLayout w:type="fixed"/>
        <w:tblCellMar>
          <w:top w:w="28" w:type="dxa"/>
          <w:left w:w="28" w:type="dxa"/>
          <w:bottom w:w="28" w:type="dxa"/>
          <w:right w:w="28" w:type="dxa"/>
        </w:tblCellMar>
      </w:tblPr>
      <w:tblGrid>
        <w:gridCol w:w="610"/>
        <w:gridCol w:w="535"/>
        <w:gridCol w:w="760"/>
      </w:tblGrid>
      <w:tr>
        <w:trPr/>
        <w:tc>
          <w:tcPr>
            <w:tcW w:w="61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Arial;sans-serif" w:hAnsi="Arial;sans-serif"/>
                <w:b/>
                <w:color w:val="000000"/>
                <w:sz w:val="36"/>
              </w:rPr>
            </w:pPr>
            <w:r>
              <w:rPr>
                <w:rFonts w:ascii="Arial;sans-serif" w:hAnsi="Arial;sans-serif"/>
                <w:b/>
                <w:color w:val="000000"/>
                <w:sz w:val="36"/>
              </w:rPr>
              <w:t>FORM 8-K</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40" w:after="283"/>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lineRule="auto" w:line="288" w:before="160" w:after="60"/>
        <w:jc w:val="center"/>
        <w:rPr>
          <w:rFonts w:ascii="Arial;sans-serif" w:hAnsi="Arial;sans-serif"/>
          <w:b/>
          <w:color w:val="000000"/>
          <w:sz w:val="24"/>
        </w:rPr>
      </w:pPr>
      <w:r>
        <w:rPr>
          <w:rFonts w:ascii="Arial;sans-serif" w:hAnsi="Arial;sans-serif"/>
          <w:b/>
          <w:color w:val="000000"/>
          <w:sz w:val="24"/>
        </w:rPr>
        <w:t>Date of Report (Date of earliest event reported): March 31, 2025</w:t>
      </w:r>
    </w:p>
    <w:p>
      <w:pPr>
        <w:pStyle w:val="TextBody"/>
        <w:bidi w:val="0"/>
        <w:spacing w:before="40" w:after="283"/>
        <w:jc w:val="center"/>
        <w:rPr/>
      </w:pPr>
      <w:r>
        <w:rPr/>
        <w:drawing>
          <wp:inline distT="0" distB="0" distL="0" distR="0">
            <wp:extent cx="19050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95300"/>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48"/>
        </w:rPr>
      </w:pPr>
      <w:r>
        <w:rPr>
          <w:rFonts w:ascii="Arial;sans-serif" w:hAnsi="Arial;sans-serif"/>
          <w:b/>
          <w:color w:val="000000"/>
          <w:sz w:val="48"/>
        </w:rPr>
        <w:t>OPEN LENDING CORPORATION</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4950" w:type="dxa"/>
        <w:jc w:val="left"/>
        <w:tblInd w:w="0" w:type="dxa"/>
        <w:tblLayout w:type="fixed"/>
        <w:tblCellMar>
          <w:top w:w="28" w:type="dxa"/>
          <w:left w:w="28" w:type="dxa"/>
          <w:bottom w:w="28" w:type="dxa"/>
          <w:right w:w="28" w:type="dxa"/>
        </w:tblCellMar>
      </w:tblPr>
      <w:tblGrid>
        <w:gridCol w:w="797"/>
        <w:gridCol w:w="701"/>
        <w:gridCol w:w="707"/>
        <w:gridCol w:w="389"/>
        <w:gridCol w:w="389"/>
        <w:gridCol w:w="393"/>
        <w:gridCol w:w="460"/>
        <w:gridCol w:w="460"/>
        <w:gridCol w:w="6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001-39326</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84-5031428</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1501 S. MoPac Expressway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Suite 450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Austin, Texas 78746</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including zip code)</w:t>
      </w: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Registrant’s telephone number, including area code: 512-892-0400</w:t>
      </w:r>
    </w:p>
    <w:p>
      <w:pPr>
        <w:pStyle w:val="TextBody"/>
        <w:bidi w:val="0"/>
        <w:spacing w:lineRule="auto" w:line="288" w:before="160" w:after="283"/>
        <w:jc w:val="center"/>
        <w:rPr>
          <w:rFonts w:ascii="Arial;sans-serif" w:hAnsi="Arial;sans-serif"/>
          <w:b/>
          <w:color w:val="000000"/>
          <w:sz w:val="16"/>
        </w:rPr>
      </w:pPr>
      <w:r>
        <w:rPr>
          <w:rFonts w:ascii="Arial;sans-serif" w:hAnsi="Arial;sans-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95"/>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80" w:after="283"/>
        <w:jc w:val="left"/>
        <w:rPr>
          <w:color w:val="000000"/>
        </w:rPr>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80" w:after="283"/>
        <w:jc w:val="left"/>
        <w:rPr>
          <w:color w:val="000000"/>
        </w:rPr>
      </w:pPr>
      <w:r>
        <w:rPr>
          <w:color w:val="000000"/>
        </w:rPr>
        <w:t xml:space="preserve">☐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80" w:after="283"/>
        <w:jc w:val="left"/>
        <w:rPr>
          <w:color w:val="000000"/>
        </w:rPr>
      </w:pPr>
      <w:r>
        <w:rPr>
          <w:color w:val="000000"/>
        </w:rPr>
        <w:t xml:space="preserve">☐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80" w:after="283"/>
        <w:jc w:val="left"/>
        <w:rPr>
          <w:color w:val="000000"/>
        </w:rPr>
      </w:pPr>
      <w:r>
        <w:rPr>
          <w:color w:val="000000"/>
        </w:rPr>
        <w:t xml:space="preserve">☐ </w:t>
      </w:r>
      <w:r>
        <w:rPr>
          <w:rFonts w:ascii="Arial;sans-serif" w:hAnsi="Arial;sans-serif"/>
          <w:b w:val="false"/>
          <w:color w:val="000000"/>
          <w:sz w:val="20"/>
        </w:rPr>
        <w:t>Pre-commencement communications pursuant to Rule 13e-4(c) under the Exchange Act (17 CFR 240.13e-4(c))</w:t>
      </w:r>
    </w:p>
    <w:p>
      <w:pPr>
        <w:pStyle w:val="TextBody"/>
        <w:bidi w:val="0"/>
        <w:spacing w:lineRule="auto" w:line="288" w:before="0" w:after="0"/>
        <w:jc w:val="left"/>
        <w:rPr>
          <w:color w:val="000000"/>
        </w:rPr>
      </w:pPr>
      <w:r>
        <w:rPr>
          <w:color w:val="000000"/>
        </w:rPr>
        <w:t> </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8482" w:type="dxa"/>
        <w:jc w:val="left"/>
        <w:tblInd w:w="0" w:type="dxa"/>
        <w:tblLayout w:type="fixed"/>
        <w:tblCellMar>
          <w:top w:w="28" w:type="dxa"/>
          <w:left w:w="28" w:type="dxa"/>
          <w:bottom w:w="28" w:type="dxa"/>
          <w:right w:w="28" w:type="dxa"/>
        </w:tblCellMar>
      </w:tblPr>
      <w:tblGrid>
        <w:gridCol w:w="1436"/>
        <w:gridCol w:w="1261"/>
        <w:gridCol w:w="1277"/>
        <w:gridCol w:w="109"/>
        <w:gridCol w:w="109"/>
        <w:gridCol w:w="109"/>
        <w:gridCol w:w="304"/>
        <w:gridCol w:w="304"/>
        <w:gridCol w:w="306"/>
        <w:gridCol w:w="109"/>
        <w:gridCol w:w="109"/>
        <w:gridCol w:w="109"/>
        <w:gridCol w:w="861"/>
        <w:gridCol w:w="861"/>
        <w:gridCol w:w="1218"/>
      </w:tblGrid>
      <w:tr>
        <w:trPr/>
        <w:tc>
          <w:tcPr>
            <w:tcW w:w="143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w:t>
              <w:br/>
              <w:t>on which registered</w:t>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Emerging growth company ☐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2"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March 31, 2025, Open Lending Corporation (the “Company”) issued a press release announcing its financial results for the fiscal quarter and full year ended December 31, 2024. A copy of the press release and additional supplemental financial information are attached as Exhibits 99.1 and 99.2, respectively, to this Current Report on Form 8-K and are incorporated by reference herein.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information furnished under this Item 2.02 and in the accompanying Exhibits 99.1 and 99.2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val="false"/>
          <w:color w:val="000000"/>
          <w:sz w:val="20"/>
        </w:rPr>
        <w:t>I</w:t>
      </w:r>
      <w:r>
        <w:rPr>
          <w:rFonts w:ascii="Arial;sans-serif" w:hAnsi="Arial;sans-serif"/>
          <w:b/>
          <w:color w:val="000000"/>
          <w:sz w:val="20"/>
        </w:rPr>
        <w:t>tem 9.01 Financial Statements and Exhibits.</w:t>
      </w:r>
    </w:p>
    <w:p>
      <w:pPr>
        <w:pStyle w:val="TextBody"/>
        <w:bidi w:val="0"/>
        <w:spacing w:lineRule="auto" w:line="288" w:before="120" w:after="180"/>
        <w:ind w:left="0" w:right="0" w:firstLine="495"/>
        <w:jc w:val="left"/>
        <w:rPr>
          <w:rFonts w:ascii="Arial;sans-serif" w:hAnsi="Arial;sans-serif"/>
          <w:b w:val="false"/>
          <w:color w:val="000000"/>
          <w:sz w:val="20"/>
        </w:rPr>
      </w:pPr>
      <w:r>
        <w:rPr>
          <w:rFonts w:ascii="Arial;sans-serif" w:hAnsi="Arial;sans-serif"/>
          <w:b w:val="false"/>
          <w:color w:val="000000"/>
          <w:sz w:val="20"/>
        </w:rPr>
        <w:t>(d)    Exhibits</w:t>
      </w:r>
    </w:p>
    <w:tbl>
      <w:tblPr>
        <w:tblW w:w="7456" w:type="dxa"/>
        <w:jc w:val="left"/>
        <w:tblInd w:w="0" w:type="dxa"/>
        <w:tblLayout w:type="fixed"/>
        <w:tblCellMar>
          <w:top w:w="28" w:type="dxa"/>
          <w:left w:w="28" w:type="dxa"/>
          <w:bottom w:w="28" w:type="dxa"/>
          <w:right w:w="28" w:type="dxa"/>
        </w:tblCellMar>
      </w:tblPr>
      <w:tblGrid>
        <w:gridCol w:w="179"/>
        <w:gridCol w:w="158"/>
        <w:gridCol w:w="159"/>
        <w:gridCol w:w="2036"/>
        <w:gridCol w:w="2036"/>
        <w:gridCol w:w="2888"/>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6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1231-ex991.htm">
              <w:r>
                <w:rPr>
                  <w:rStyle w:val="InternetLink"/>
                  <w:rFonts w:ascii="Arial;sans-serif" w:hAnsi="Arial;sans-serif"/>
                  <w:b w:val="false"/>
                  <w:color w:val="0000FF"/>
                  <w:sz w:val="20"/>
                  <w:u w:val="single"/>
                </w:rPr>
                <w:t>Earnings Release, dated March 31, 2025</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99.2</w:t>
            </w:r>
          </w:p>
        </w:tc>
        <w:tc>
          <w:tcPr>
            <w:tcW w:w="6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pro-20241231xersuppslid.htm">
              <w:r>
                <w:rPr>
                  <w:rStyle w:val="InternetLink"/>
                  <w:rFonts w:ascii="Arial;sans-serif" w:hAnsi="Arial;sans-serif"/>
                  <w:b w:val="false"/>
                  <w:color w:val="0000FF"/>
                  <w:sz w:val="20"/>
                  <w:u w:val="single"/>
                </w:rPr>
                <w:t>Earnings Supplement Q4 2024</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3"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5243" w:type="dxa"/>
        <w:jc w:val="right"/>
        <w:tblInd w:w="0" w:type="dxa"/>
        <w:tblLayout w:type="fixed"/>
        <w:tblCellMar>
          <w:top w:w="28" w:type="dxa"/>
          <w:left w:w="28" w:type="dxa"/>
          <w:bottom w:w="28" w:type="dxa"/>
          <w:right w:w="28" w:type="dxa"/>
        </w:tblCellMar>
      </w:tblPr>
      <w:tblGrid>
        <w:gridCol w:w="374"/>
        <w:gridCol w:w="329"/>
        <w:gridCol w:w="329"/>
        <w:gridCol w:w="329"/>
        <w:gridCol w:w="329"/>
        <w:gridCol w:w="329"/>
        <w:gridCol w:w="942"/>
        <w:gridCol w:w="942"/>
        <w:gridCol w:w="1340"/>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52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OPEN LENDING CORPORATION</w:t>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Matthew S. Stark</w:t>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Matthew S. Stark</w:t>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Legal and Compliance Officer</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March 31,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Proxima Nova;sans-serif" w:hAnsi="Proxima Nova;sans-serif"/>
                                <w:b w:val="false"/>
                                <w:color w:val="000000"/>
                                <w:sz w:val="20"/>
                              </w:rPr>
                            </w:pPr>
                            <w:r>
                              <w:rPr>
                                <w:rFonts w:ascii="Proxima Nova;sans-serif" w:hAnsi="Proxima Nov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Proxima Nova;sans-serif" w:hAnsi="Proxima Nova;sans-serif"/>
                          <w:b w:val="false"/>
                          <w:color w:val="000000"/>
                          <w:sz w:val="20"/>
                        </w:rPr>
                      </w:pPr>
                      <w:r>
                        <w:rPr>
                          <w:rFonts w:ascii="Proxima Nova;sans-serif" w:hAnsi="Proxima Nova;sans-serif"/>
                          <w:b w:val="false"/>
                          <w:color w:val="000000"/>
                          <w:sz w:val="20"/>
                        </w:rPr>
                        <w:t>2</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200" w:after="283"/>
        <w:jc w:val="left"/>
        <w:rPr/>
      </w:pPr>
      <w:r>
        <w:rPr/>
        <w:drawing>
          <wp:inline distT="0" distB="0" distL="0" distR="0">
            <wp:extent cx="1428750" cy="2476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428750" cy="247650"/>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Reports Fourth Quarter and Full Year 2024 Financial Results</w: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AUSTIN, Texas, March 31, 2025 – Open Lending Corporation (Nasdaq: LPRO) (the “Company” or “Open Lending”), an industry trailblazer in lending enablement and risk analytics solutions for financial institutions, today reported financial results for its fourth quarter and full year ended December 31, 2024.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a separate press release today, the Company announced that its Board of Directors (the “Board”) has appointed Jessica Buss, Chairman of the Board, as Chief Executive Officer, effective immediately. The Board has also appointed Michelle Glasl as Chief Operating Officer. Charles Jehl will continue to serve as Interim Chief Financial Officer and as a member of the Board.</w:t>
      </w:r>
    </w:p>
    <w:p>
      <w:pPr>
        <w:pStyle w:val="TextBody"/>
        <w:bidi w:val="0"/>
        <w:spacing w:lineRule="auto" w:line="276" w:before="240" w:after="120"/>
        <w:jc w:val="both"/>
        <w:rPr>
          <w:rFonts w:ascii="Arial;sans-serif" w:hAnsi="Arial;sans-serif"/>
          <w:b/>
          <w:color w:val="000000"/>
          <w:sz w:val="20"/>
        </w:rPr>
      </w:pPr>
      <w:r>
        <w:rPr>
          <w:rFonts w:ascii="Arial;sans-serif" w:hAnsi="Arial;sans-serif"/>
          <w:b/>
          <w:color w:val="000000"/>
          <w:sz w:val="20"/>
        </w:rPr>
        <w:t xml:space="preserve">Three Months Ended December 31, 2024 Highlights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The Company facilitated 26,065 certified loans during the fourth quarter of 2024, compared to 26,263 certified loans in the fourth </w:t>
      </w:r>
      <w:r>
        <w:rPr>
          <w:rFonts w:ascii="Arial;sans-serif" w:hAnsi="Arial;sans-serif"/>
          <w:b w:val="false"/>
          <w:color w:val="000000"/>
          <w:sz w:val="20"/>
          <w:shd w:fill="FFFFFF" w:val="clear"/>
        </w:rPr>
        <w:t>quarter of 2023.</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Total revenue was $(56.9) million during the fourth quarter of 2024, compared to $14.9 million in the fourth </w:t>
      </w:r>
      <w:r>
        <w:rPr>
          <w:rFonts w:ascii="Arial;sans-serif" w:hAnsi="Arial;sans-serif"/>
          <w:b w:val="false"/>
          <w:color w:val="000000"/>
          <w:sz w:val="20"/>
          <w:shd w:fill="FFFFFF" w:val="clear"/>
        </w:rPr>
        <w:t xml:space="preserve">quarter of 2023. The fourth quarter of </w:t>
      </w:r>
      <w:r>
        <w:rPr>
          <w:rFonts w:ascii="Arial;sans-serif" w:hAnsi="Arial;sans-serif"/>
          <w:b w:val="false"/>
          <w:color w:val="000000"/>
          <w:sz w:val="20"/>
        </w:rPr>
        <w:t>2024</w:t>
      </w:r>
      <w:r>
        <w:rPr>
          <w:color w:val="000000"/>
          <w:shd w:fill="FFFFFF" w:val="clear"/>
        </w:rPr>
        <w:t xml:space="preserve"> </w:t>
      </w:r>
      <w:r>
        <w:rPr>
          <w:rFonts w:ascii="Arial;sans-serif" w:hAnsi="Arial;sans-serif"/>
          <w:b w:val="false"/>
          <w:color w:val="000000"/>
          <w:sz w:val="20"/>
          <w:shd w:fill="FFFFFF" w:val="clear"/>
        </w:rPr>
        <w:t xml:space="preserve">was negatively impacted by a </w:t>
      </w:r>
      <w:r>
        <w:rPr>
          <w:rFonts w:ascii="Arial;sans-serif" w:hAnsi="Arial;sans-serif"/>
          <w:b w:val="false"/>
          <w:color w:val="000000"/>
          <w:sz w:val="20"/>
        </w:rPr>
        <w:t>$81.3 million</w:t>
      </w:r>
      <w:r>
        <w:rPr>
          <w:color w:val="000000"/>
          <w:shd w:fill="FFFFFF" w:val="clear"/>
        </w:rPr>
        <w:t xml:space="preserve"> </w:t>
      </w:r>
      <w:r>
        <w:rPr>
          <w:rFonts w:ascii="Arial;sans-serif" w:hAnsi="Arial;sans-serif"/>
          <w:b w:val="false"/>
          <w:color w:val="000000"/>
          <w:sz w:val="20"/>
          <w:shd w:fill="FFFFFF" w:val="clear"/>
        </w:rPr>
        <w:t xml:space="preserve">reduction in estimated profit share revenues related to business in historic vintages as compared to a </w:t>
      </w:r>
      <w:r>
        <w:rPr>
          <w:rFonts w:ascii="Arial;sans-serif" w:hAnsi="Arial;sans-serif"/>
          <w:b w:val="false"/>
          <w:color w:val="000000"/>
          <w:sz w:val="20"/>
        </w:rPr>
        <w:t>$14.3 million</w:t>
      </w:r>
      <w:r>
        <w:rPr>
          <w:color w:val="000000"/>
          <w:shd w:fill="FFFFFF" w:val="clear"/>
        </w:rPr>
        <w:t xml:space="preserve"> </w:t>
      </w:r>
      <w:r>
        <w:rPr>
          <w:rFonts w:ascii="Arial;sans-serif" w:hAnsi="Arial;sans-serif"/>
          <w:b w:val="false"/>
          <w:color w:val="000000"/>
          <w:sz w:val="20"/>
          <w:shd w:fill="FFFFFF" w:val="clear"/>
        </w:rPr>
        <w:t>reduction in the fourth quarter of 2023.</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Gross loss was $63.2 million during the fourth quarter of 2024, compared to gross profit of $9.6 million in the fourth</w:t>
      </w:r>
      <w:r>
        <w:rPr>
          <w:color w:val="000000"/>
          <w:shd w:fill="FFFFFF" w:val="clear"/>
        </w:rPr>
        <w:t xml:space="preserve"> </w:t>
      </w:r>
      <w:r>
        <w:rPr>
          <w:rFonts w:ascii="Arial;sans-serif" w:hAnsi="Arial;sans-serif"/>
          <w:b w:val="false"/>
          <w:color w:val="000000"/>
          <w:sz w:val="20"/>
          <w:shd w:fill="FFFFFF" w:val="clear"/>
        </w:rPr>
        <w:t>quarter of 2023.</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Net loss was $144.4 million during the fourth quarter of 2024, compared to a net loss of $4.8 million in the fourth</w:t>
      </w:r>
      <w:r>
        <w:rPr>
          <w:color w:val="000000"/>
          <w:shd w:fill="FFFFFF" w:val="clear"/>
        </w:rPr>
        <w:t xml:space="preserve"> </w:t>
      </w:r>
      <w:r>
        <w:rPr>
          <w:rFonts w:ascii="Arial;sans-serif" w:hAnsi="Arial;sans-serif"/>
          <w:b w:val="false"/>
          <w:color w:val="000000"/>
          <w:sz w:val="20"/>
          <w:shd w:fill="FFFFFF" w:val="clear"/>
        </w:rPr>
        <w:t xml:space="preserve">quarter of 2023. The fourth quarter of </w:t>
      </w:r>
      <w:r>
        <w:rPr>
          <w:rFonts w:ascii="Arial;sans-serif" w:hAnsi="Arial;sans-serif"/>
          <w:b w:val="false"/>
          <w:color w:val="000000"/>
          <w:sz w:val="20"/>
        </w:rPr>
        <w:t>2024</w:t>
      </w:r>
      <w:r>
        <w:rPr>
          <w:color w:val="000000"/>
          <w:shd w:fill="FFFFFF" w:val="clear"/>
        </w:rPr>
        <w:t xml:space="preserve"> </w:t>
      </w:r>
      <w:r>
        <w:rPr>
          <w:rFonts w:ascii="Arial;sans-serif" w:hAnsi="Arial;sans-serif"/>
          <w:b w:val="false"/>
          <w:color w:val="000000"/>
          <w:sz w:val="20"/>
          <w:shd w:fill="FFFFFF" w:val="clear"/>
        </w:rPr>
        <w:t xml:space="preserve">was negatively impacted by the recording of a valuation allowance on our deferred tax assets of $86.1 million, which increased our income tax expense during the period.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Adjusted EBITDA was $(73.1) million during the fourth quarter of 2024, compared to $(2.1) million in the fourth</w:t>
      </w:r>
      <w:r>
        <w:rPr>
          <w:color w:val="000000"/>
          <w:shd w:fill="FFFFFF" w:val="clear"/>
        </w:rPr>
        <w:t xml:space="preserve"> </w:t>
      </w:r>
      <w:r>
        <w:rPr>
          <w:rFonts w:ascii="Arial;sans-serif" w:hAnsi="Arial;sans-serif"/>
          <w:b w:val="false"/>
          <w:color w:val="000000"/>
          <w:sz w:val="20"/>
          <w:shd w:fill="FFFFFF" w:val="clear"/>
        </w:rPr>
        <w:t>quarter of 2023.</w:t>
      </w:r>
    </w:p>
    <w:p>
      <w:pPr>
        <w:pStyle w:val="TextBody"/>
        <w:bidi w:val="0"/>
        <w:spacing w:lineRule="auto" w:line="288" w:before="300" w:after="283"/>
        <w:jc w:val="both"/>
        <w:rPr>
          <w:rFonts w:ascii="Arial;sans-serif" w:hAnsi="Arial;sans-serif"/>
          <w:b/>
          <w:color w:val="000000"/>
          <w:sz w:val="20"/>
        </w:rPr>
      </w:pPr>
      <w:r>
        <w:rPr>
          <w:rFonts w:ascii="Arial;sans-serif" w:hAnsi="Arial;sans-serif"/>
          <w:b/>
          <w:color w:val="000000"/>
          <w:sz w:val="20"/>
        </w:rPr>
        <w:t xml:space="preserve">Twelve Months Ended December 31, 2024 Highlights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The Company facilitated 110,652 certified loans during the year ended December 31, 2024, compared to 122,984 certified loans in the prior year</w:t>
      </w:r>
      <w:r>
        <w:rPr>
          <w:rFonts w:ascii="Arial;sans-serif" w:hAnsi="Arial;sans-serif"/>
          <w:b w:val="false"/>
          <w:color w:val="000000"/>
          <w:sz w:val="20"/>
          <w:shd w:fill="FFFFFF" w:val="clear"/>
        </w:rPr>
        <w:t>.</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Total revenue was $24.0 million during the year ended December 31, 2024, compared to $117.5 million in the prior year</w:t>
      </w:r>
      <w:r>
        <w:rPr>
          <w:rFonts w:ascii="Arial;sans-serif" w:hAnsi="Arial;sans-serif"/>
          <w:b w:val="false"/>
          <w:color w:val="000000"/>
          <w:sz w:val="20"/>
          <w:shd w:fill="FFFFFF" w:val="clear"/>
        </w:rPr>
        <w:t xml:space="preserve">. The </w:t>
      </w:r>
      <w:r>
        <w:rPr>
          <w:rFonts w:ascii="Arial;sans-serif" w:hAnsi="Arial;sans-serif"/>
          <w:b w:val="false"/>
          <w:color w:val="000000"/>
          <w:sz w:val="20"/>
        </w:rPr>
        <w:t>year ended December 31, 2024</w:t>
      </w:r>
      <w:r>
        <w:rPr>
          <w:color w:val="000000"/>
          <w:shd w:fill="FFFFFF" w:val="clear"/>
        </w:rPr>
        <w:t xml:space="preserve"> </w:t>
      </w:r>
      <w:r>
        <w:rPr>
          <w:rFonts w:ascii="Arial;sans-serif" w:hAnsi="Arial;sans-serif"/>
          <w:b w:val="false"/>
          <w:color w:val="000000"/>
          <w:sz w:val="20"/>
          <w:shd w:fill="FFFFFF" w:val="clear"/>
        </w:rPr>
        <w:t xml:space="preserve">was negatively impacted by a </w:t>
      </w:r>
      <w:r>
        <w:rPr>
          <w:rFonts w:ascii="Arial;sans-serif" w:hAnsi="Arial;sans-serif"/>
          <w:b w:val="false"/>
          <w:color w:val="000000"/>
          <w:sz w:val="20"/>
        </w:rPr>
        <w:t>$96.1 million</w:t>
      </w:r>
      <w:r>
        <w:rPr>
          <w:color w:val="000000"/>
          <w:shd w:fill="FFFFFF" w:val="clear"/>
        </w:rPr>
        <w:t xml:space="preserve"> </w:t>
      </w:r>
      <w:r>
        <w:rPr>
          <w:rFonts w:ascii="Arial;sans-serif" w:hAnsi="Arial;sans-serif"/>
          <w:b w:val="false"/>
          <w:color w:val="000000"/>
          <w:sz w:val="20"/>
          <w:shd w:fill="FFFFFF" w:val="clear"/>
        </w:rPr>
        <w:t xml:space="preserve">reduction in estimated profit share revenues related to business in historic vintages as compared to a </w:t>
      </w:r>
      <w:r>
        <w:rPr>
          <w:rFonts w:ascii="Arial;sans-serif" w:hAnsi="Arial;sans-serif"/>
          <w:b w:val="false"/>
          <w:color w:val="000000"/>
          <w:sz w:val="20"/>
        </w:rPr>
        <w:t>$22.8 million</w:t>
      </w:r>
      <w:r>
        <w:rPr>
          <w:color w:val="000000"/>
          <w:shd w:fill="FFFFFF" w:val="clear"/>
        </w:rPr>
        <w:t xml:space="preserve"> </w:t>
      </w:r>
      <w:r>
        <w:rPr>
          <w:rFonts w:ascii="Arial;sans-serif" w:hAnsi="Arial;sans-serif"/>
          <w:b w:val="false"/>
          <w:color w:val="000000"/>
          <w:sz w:val="20"/>
          <w:shd w:fill="FFFFFF" w:val="clear"/>
        </w:rPr>
        <w:t xml:space="preserve">reduction in the </w:t>
      </w:r>
      <w:r>
        <w:rPr>
          <w:rFonts w:ascii="Arial;sans-serif" w:hAnsi="Arial;sans-serif"/>
          <w:b w:val="false"/>
          <w:color w:val="000000"/>
          <w:sz w:val="20"/>
        </w:rPr>
        <w:t>prior year</w:t>
      </w:r>
      <w:r>
        <w:rPr>
          <w:rFonts w:ascii="Arial;sans-serif" w:hAnsi="Arial;sans-serif"/>
          <w:b w:val="false"/>
          <w:color w:val="000000"/>
          <w:sz w:val="20"/>
          <w:shd w:fill="FFFFFF" w:val="clear"/>
        </w:rPr>
        <w:t>.</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Gross profit was $0.2 million during the year ended December 31, 2024, compared to $95.2 million in the prior year</w:t>
      </w:r>
      <w:r>
        <w:rPr>
          <w:rFonts w:ascii="Arial;sans-serif" w:hAnsi="Arial;sans-serif"/>
          <w:b w:val="false"/>
          <w:color w:val="000000"/>
          <w:sz w:val="20"/>
          <w:shd w:fill="FFFFFF" w:val="clear"/>
        </w:rPr>
        <w:t>.</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Net loss was $135.0 million during the year ended December 31, 2024, compared to net income of $22.1 million in the prior year</w:t>
      </w:r>
      <w:r>
        <w:rPr>
          <w:rFonts w:ascii="Arial;sans-serif" w:hAnsi="Arial;sans-serif"/>
          <w:b w:val="false"/>
          <w:color w:val="000000"/>
          <w:sz w:val="20"/>
          <w:shd w:fill="FFFFFF" w:val="clear"/>
        </w:rPr>
        <w:t>.</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Adjusted EBITDA was $(42.9) million during the year ended December 31, 2024, compared to $50.2 million in the prior year</w:t>
      </w:r>
      <w:r>
        <w:rPr>
          <w:rFonts w:ascii="Arial;sans-serif" w:hAnsi="Arial;sans-serif"/>
          <w:b w:val="false"/>
          <w:color w:val="000000"/>
          <w:sz w:val="20"/>
          <w:shd w:fill="FFFFFF" w:val="clear"/>
        </w:rPr>
        <w: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Adjusted EBITDA is a non-GAAP financial measure. A reconciliation of this non-GAAP financial measure to its most directly comparable GAAP financial measure is provided in the financial table included at the end of this press release. An explanation of this measure and how it is calculated is also included under the heading “Non-GAAP Financial Measures.”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Fourth Quarter 2024 Impact Related to Profit Share Revenue Change in Estimates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Each quarter, the Company evaluates and updates its profit share revenue forecast and makes adjustments to its profit share revenue and related contract assets accordingly. Following this evaluation, for the fourth quarter of 2024, adjustments attributable to the Company's profit share revenue forecast resulted in a negative change in estimate of $81.3 million, primarily due to heightened delinquencies and corresponding defaults associated with loans originated in 2021 through 2024.</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As discussed below, three factors primarily contributed to this reduction of estimated profit share.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First, there was continued deterioration of the Company's 2021 and 2022 vintages. These certified loans were generated when used car values reached an all-time high in late 2021, driven by pandemic-related disruptions in the supply chain. The subsequent decline in used car values has increased the likelihood of default on vehicles that are now worth significantly less than their corresponding outstanding loan balances. Adjustments to the forecasted performance of the Company's 2021 and 2022 vintages accounted for approximately 40% of the Company's total negative change in estimate for the fourth quarter of 2024.</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Second, continued elevated delinquencies and ultimate defaults as a result of broader macroeconomic conditions accounted for approximately 20% of the Company's total negative change in estimate for the fourth quarter of 2024.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Finally, the Company identified two cohorts of borrowers, borrowers with credit builder tradelines and borrowers with fewer positive tradelines, that caused its 2023 and 2024 vintages to underperform. Adjustments to the forecasted performance of loans to these two cohorts of borrowers accounted for approximately 40% of the Company's total negative change in estimate for the fourth quarter of 2024.</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As a result of the profit share change in estimate adjustment, for the fourth quarter of 2024, the Company reduced its contract assets by $33.7 million and recorded an excess profit share receipts liability of $47.6 million, attributable to the change in its expected profit share revenue. Any future adjustments to the Company's profit share revenue forecasts, positive or negative, will impact profit share revenue.</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First Quarter 2025 Outlook</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first quarter of 2025, the Company currently expects total certified loans to be between 27,000 and 28,000.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guidance provided includes forward-looking statements within the meaning of U.S. securities laws. See “Forward-Looking Statements” below.</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Board Changes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Jessica Buss will continue to serve as Chairman of the Board but will no longer be a member of the nominating and corporate governance and audit committees of the Board. Thomas Hegge will join the audit committee effective immediately.</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Conference Call</w:t>
      </w:r>
    </w:p>
    <w:p>
      <w:pPr>
        <w:pStyle w:val="TextBody"/>
        <w:bidi w:val="0"/>
        <w:spacing w:lineRule="auto" w:line="288" w:before="0" w:after="0"/>
        <w:jc w:val="both"/>
        <w:rPr/>
      </w:pPr>
      <w:r>
        <w:rPr>
          <w:rFonts w:ascii="Arial;sans-serif" w:hAnsi="Arial;sans-serif"/>
          <w:b w:val="false"/>
          <w:color w:val="000000"/>
          <w:sz w:val="20"/>
        </w:rPr>
        <w:t xml:space="preserve">Open Lending will host a conference call to discuss the fourth quarter and full year 2024 financial results tomorrow, April 1, 2025, at 8:00 am ET. The conference call will be webcast live from the Company's investor relations website at </w:t>
      </w:r>
      <w:r>
        <w:rPr>
          <w:rFonts w:ascii="Arial;sans-serif" w:hAnsi="Arial;sans-serif"/>
          <w:b w:val="false"/>
          <w:color w:val="0563C1"/>
          <w:sz w:val="20"/>
        </w:rPr>
        <w:t>https://investors.openlending.com/</w:t>
      </w:r>
      <w:r>
        <w:rPr>
          <w:color w:val="000000"/>
        </w:rPr>
        <w:t xml:space="preserve"> </w:t>
      </w:r>
      <w:r>
        <w:rPr>
          <w:rFonts w:ascii="Arial;sans-serif" w:hAnsi="Arial;sans-serif"/>
          <w:b w:val="false"/>
          <w:color w:val="000000"/>
          <w:sz w:val="20"/>
        </w:rPr>
        <w:t>under the “Events” section. The conference call can also be accessed live over the phone by dialing (877) 407-4018, or for international callers (201) 689-8471; the conference ID is 13752724. An archive of the webcast will be available at the same location on the website shortly after the call has concluded.</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About Open Lending </w:t>
      </w:r>
    </w:p>
    <w:p>
      <w:pPr>
        <w:pStyle w:val="TextBody"/>
        <w:bidi w:val="0"/>
        <w:spacing w:lineRule="auto" w:line="288" w:before="0" w:after="0"/>
        <w:jc w:val="both"/>
        <w:rPr/>
      </w:pPr>
      <w:r>
        <w:rPr>
          <w:rFonts w:ascii="Arial;sans-serif" w:hAnsi="Arial;sans-serif"/>
          <w:b w:val="false"/>
          <w:color w:val="000000"/>
          <w:sz w:val="20"/>
        </w:rPr>
        <w:t xml:space="preserve">Open Lending (Nasdaq: LPRO) provides loan analytics, risk-based pricing, risk modeling and default insurance to auto lenders throughout the United States. For over 20 years, we have been empowering financial institutions to create profitable auto loan portfolios with less risk and more reward. For more information, please visit </w:t>
      </w:r>
      <w:r>
        <w:rPr>
          <w:rFonts w:ascii="Arial;sans-serif" w:hAnsi="Arial;sans-serif"/>
          <w:b w:val="false"/>
          <w:color w:val="0563C1"/>
          <w:sz w:val="20"/>
        </w:rPr>
        <w:t>www.openlending.com</w:t>
      </w:r>
      <w:r>
        <w:rPr>
          <w:rFonts w:ascii="Arial;sans-serif" w:hAnsi="Arial;sans-serif"/>
          <w:b w:val="false"/>
          <w:color w:val="000000"/>
          <w:sz w:val="20"/>
        </w:rPr>
        <w:t xml:space="preserve">.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This press release includes certain statements that are not historical facts but are forward-looking statements for purposes of the safe harbor provisions under the United States Private Securities Litigation Reform Act of 1995, including statements related to market trends, consumer behavior and demand for automotive loans, as well as future financial performance under the heading "First Quarter 2025 Outlook" above.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statements are based on various assumptions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Company’s control. These forward-looking statements are subject to a number of risks and uncertainties, including general economic, market,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political and business conditions; applicable taxes, inflation, tariffs, supply chain disruptions including global hostilities and responses thereto, interest rates and the regulatory environment; the outcome of judicial proceedings to which Open Lending may become a party; and other risks discussed in our filings with the Securities and Exchange Commission, including our Annual Report on Form 10-K for the year ended December 31, 2024. If the risks materialize or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In addition, forward-looking statements reflect the Company’s expectations, plans or forecasts of future events and views as of the date of this press release. The Company anticipates that subsequent events and developments will cause its assessments to change. However, while the Company may elect to update these forward-looking statements at some point in the future, the Company specifically disclaims any obligation to do so. These forward-looking statements should not be relied upon as representing the Company’s assessments as of any date subsequent to the date of this press release. Accordingly, undue reliance should not be placed upon the forward-looking statements.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non-GAAP financial measures included in this press release are financial information that has not been prepared in accordance with GAAP. The Company uses Adjusted EBITDA and Adjusted EBITDA margin internally in analyzing our financial results and believes these measures are useful to investors, as a supplement to GAAP measures, in evaluating our ongoing operational performance. The Company believes that the use of non-GAAP financial measures provides an additional tool for investors to use in evaluating ongoing operating results and trends and in comparing our financial results with other companies in our industry, many of which present similar non-GAAP financial measures to investors.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believes these measures provide useful information to investors and others in understanding and evaluating its operating results in the same manner as its management and board of directors. In addition, these measures provide useful measures for period-to-period comparisons of our business, as they remove the effect of certain non-cash items and certain non-recurring variable charges. Adjusted EBITDA is defined as GAAP net income (loss) excluding interest expense, income tax expense, depreciation and amortization expense, and share-based compensation expense. Adjusted EBITDA margin is defined as Adjusted EBITDA expressed as a percentage of total revenue.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Non-GAAP financial measures should not be considered in isolation from, or as a substitute for, financial information prepared in accordance with GAAP. Investors are encouraged to review the reconciliation of non-GAAP financial measures to their most directly comparable GAAP financial measure provided in the financial statement tables included below in this press release.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Investor Relations Contact:</w:t>
      </w:r>
    </w:p>
    <w:p>
      <w:pPr>
        <w:pStyle w:val="TextBody"/>
        <w:bidi w:val="0"/>
        <w:spacing w:lineRule="auto" w:line="288" w:before="0" w:after="0"/>
        <w:jc w:val="left"/>
        <w:rPr>
          <w:rFonts w:ascii="Arial;sans-serif" w:hAnsi="Arial;sans-serif"/>
          <w:b w:val="false"/>
          <w:color w:val="0563C1"/>
          <w:sz w:val="20"/>
        </w:rPr>
      </w:pPr>
      <w:r>
        <w:rPr>
          <w:rFonts w:ascii="Arial;sans-serif" w:hAnsi="Arial;sans-serif"/>
          <w:b w:val="false"/>
          <w:color w:val="0563C1"/>
          <w:sz w:val="20"/>
        </w:rPr>
        <w:t>InvestorRelations@openlending.com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 except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66"/>
        <w:gridCol w:w="2071"/>
        <w:gridCol w:w="2057"/>
        <w:gridCol w:w="109"/>
        <w:gridCol w:w="109"/>
        <w:gridCol w:w="109"/>
        <w:gridCol w:w="246"/>
        <w:gridCol w:w="981"/>
        <w:gridCol w:w="127"/>
        <w:gridCol w:w="109"/>
        <w:gridCol w:w="109"/>
        <w:gridCol w:w="109"/>
        <w:gridCol w:w="244"/>
        <w:gridCol w:w="976"/>
        <w:gridCol w:w="183"/>
      </w:tblGrid>
      <w:tr>
        <w:trPr/>
        <w:tc>
          <w:tcPr>
            <w:tcW w:w="266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243,164 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240,206 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contract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28,704 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275,725</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289,876</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software development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70,113 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296,368</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374,037</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Third-party claims administration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excess profit share receipts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47,252</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20,590</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139,357 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Excess profit share receipts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218,281</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168,457</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Commitments and contingencies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$0.01 par value; 10,000,000 shares authorized and none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Common stock, $0.01 par value; 550,000,000 shares authorized, 128,198,185 shares issued and 119,350,001 shares outstanding as of December 31, 2024 and 128,198,185 shares issued and 118,819,795 shares outstanding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502,664 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502,032 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(328,759)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(193,749)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at cost, 8,848,184 shares at December 31, 2024 and 9,378,390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(103,985)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78,087</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205,580</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296,368</w:t>
            </w: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374,037</w:t>
            </w:r>
            <w:r>
              <w:rPr>
                <w:color w:val="000000"/>
              </w:rPr>
              <w:t>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 except share data)</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80"/>
        <w:gridCol w:w="1121"/>
        <w:gridCol w:w="1132"/>
        <w:gridCol w:w="274"/>
        <w:gridCol w:w="1118"/>
        <w:gridCol w:w="131"/>
        <w:gridCol w:w="131"/>
        <w:gridCol w:w="131"/>
        <w:gridCol w:w="131"/>
        <w:gridCol w:w="274"/>
        <w:gridCol w:w="969"/>
        <w:gridCol w:w="131"/>
        <w:gridCol w:w="109"/>
        <w:gridCol w:w="109"/>
        <w:gridCol w:w="109"/>
        <w:gridCol w:w="243"/>
        <w:gridCol w:w="988"/>
        <w:gridCol w:w="109"/>
        <w:gridCol w:w="109"/>
        <w:gridCol w:w="109"/>
        <w:gridCol w:w="109"/>
        <w:gridCol w:w="270"/>
        <w:gridCol w:w="961"/>
        <w:gridCol w:w="157"/>
      </w:tblGrid>
      <w:tr>
        <w:trPr/>
        <w:tc>
          <w:tcPr>
            <w:tcW w:w="128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Three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35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5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Program fees</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Profit share</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(73,160)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Claims administration and other service fees</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1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(56,924)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14,939</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24,024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117,460</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services</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 (loss)</w:t>
            </w:r>
          </w:p>
        </w:tc>
        <w:tc>
          <w:tcPr>
            <w:tcW w:w="1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(63,189)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9,574</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95,178</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Total operating expenses</w:t>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15,368</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17,851</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65,547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66,103</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1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(78,557)</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(8,277)</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29,075</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1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(78,594)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(7,961)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28,858</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(144,436)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(4,842)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(135,010)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22,070</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 per common share</w:t>
            </w:r>
          </w:p>
        </w:tc>
        <w:tc>
          <w:tcPr>
            <w:tcW w:w="15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common shares outstanding</w:t>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119,331,553 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119,366,013 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119,179,766 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120,826,644 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119,331,553 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119,366,013 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119,179,766 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121,474,880 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p>
      <w:pPr>
        <w:pStyle w:val="TextBody"/>
        <w:bidi w:val="0"/>
        <w:spacing w:before="0" w:after="0"/>
        <w:jc w:val="center"/>
        <w:rPr/>
      </w:pPr>
      <w:r>
        <w:rPr/>
      </w:r>
    </w:p>
    <w:tbl>
      <w:tblPr>
        <w:tblW w:w="10190" w:type="dxa"/>
        <w:jc w:val="center"/>
        <w:tblInd w:w="0" w:type="dxa"/>
        <w:tblLayout w:type="fixed"/>
        <w:tblCellMar>
          <w:top w:w="28" w:type="dxa"/>
          <w:left w:w="28" w:type="dxa"/>
          <w:bottom w:w="28" w:type="dxa"/>
          <w:right w:w="28" w:type="dxa"/>
        </w:tblCellMar>
      </w:tblPr>
      <w:tblGrid>
        <w:gridCol w:w="2573"/>
        <w:gridCol w:w="2261"/>
        <w:gridCol w:w="2275"/>
        <w:gridCol w:w="109"/>
        <w:gridCol w:w="109"/>
        <w:gridCol w:w="109"/>
        <w:gridCol w:w="211"/>
        <w:gridCol w:w="901"/>
        <w:gridCol w:w="109"/>
        <w:gridCol w:w="109"/>
        <w:gridCol w:w="109"/>
        <w:gridCol w:w="109"/>
        <w:gridCol w:w="211"/>
        <w:gridCol w:w="841"/>
        <w:gridCol w:w="154"/>
      </w:tblGrid>
      <w:tr>
        <w:trPr/>
        <w:tc>
          <w:tcPr>
            <w:tcW w:w="2573"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&amp;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Excess profit share receipts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Third-party claims administration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17,598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82,658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excise tax on 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withheld for taxes related to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(6,447)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(42,330)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cash and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restricted cash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and restricted cash at the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253,924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246,669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paid (refunded),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Non-cash investing and financing: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assets obtained in exchange for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for capitalized software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software development costs accrued but not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excise tax associated with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GAAP to Non-GAAP Financial Measures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36"/>
        <w:gridCol w:w="1059"/>
        <w:gridCol w:w="1063"/>
        <w:gridCol w:w="239"/>
        <w:gridCol w:w="1035"/>
        <w:gridCol w:w="324"/>
        <w:gridCol w:w="123"/>
        <w:gridCol w:w="123"/>
        <w:gridCol w:w="123"/>
        <w:gridCol w:w="239"/>
        <w:gridCol w:w="852"/>
        <w:gridCol w:w="324"/>
        <w:gridCol w:w="109"/>
        <w:gridCol w:w="109"/>
        <w:gridCol w:w="109"/>
        <w:gridCol w:w="211"/>
        <w:gridCol w:w="912"/>
        <w:gridCol w:w="286"/>
        <w:gridCol w:w="109"/>
        <w:gridCol w:w="109"/>
        <w:gridCol w:w="109"/>
        <w:gridCol w:w="211"/>
        <w:gridCol w:w="856"/>
        <w:gridCol w:w="335"/>
      </w:tblGrid>
      <w:tr>
        <w:trPr/>
        <w:tc>
          <w:tcPr>
            <w:tcW w:w="123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Three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(144,436)</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(4,842)</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(135,010)</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22,070</w:t>
            </w:r>
            <w:r>
              <w:rPr>
                <w:color w:val="000000"/>
              </w:rPr>
              <w:t>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adjustments:</w:t>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2,849 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2,820 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10,661 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65,842 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(3,119)</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6,788 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 expense</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2,269 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2,666 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9,492 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adjustments</w:t>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71,353</w:t>
            </w: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2,702</w:t>
            </w: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92,073</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28,100</w:t>
            </w:r>
            <w:r>
              <w:rPr>
                <w:color w:val="000000"/>
              </w:rPr>
              <w:t>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(73,083)</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(2,140)</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(42,937)</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50,170</w:t>
            </w:r>
            <w:r>
              <w:rPr>
                <w:color w:val="000000"/>
              </w:rPr>
              <w:t>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(56,924)</w:t>
            </w:r>
          </w:p>
        </w:tc>
        <w:tc>
          <w:tcPr>
            <w:tcW w:w="3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14,939</w:t>
            </w:r>
            <w:r>
              <w:rPr>
                <w:color w:val="000000"/>
              </w:rPr>
              <w:t> </w:t>
            </w:r>
          </w:p>
        </w:tc>
        <w:tc>
          <w:tcPr>
            <w:tcW w:w="3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24,024</w:t>
            </w:r>
            <w:r>
              <w:rPr>
                <w:color w:val="000000"/>
              </w:rPr>
              <w:t>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117,460</w:t>
            </w:r>
            <w:r>
              <w:rPr>
                <w:color w:val="000000"/>
              </w:rPr>
              <w:t> </w:t>
            </w:r>
          </w:p>
        </w:tc>
        <w:tc>
          <w:tcPr>
            <w:tcW w:w="3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w:t>
            </w: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w:t>
            </w: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0" w:after="0"/>
        <w:jc w:val="center"/>
        <w:rPr/>
      </w:pPr>
      <w:bookmarkStart w:id="0" w:name="lpro-20241231xersuppslid.htm"/>
      <w:bookmarkStart w:id="1" w:name="kslpro20241231xersuppslid"/>
      <w:bookmarkEnd w:id="0"/>
      <w:bookmarkEnd w:id="1"/>
      <w:r>
        <w:rPr/>
        <w:drawing>
          <wp:inline distT="0" distB="0" distL="0" distR="0">
            <wp:extent cx="9753600" cy="54864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3"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Earnings Supplement Q4 and Full Year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23, 159, 221 149, 201, 61 20, 83, 150 3, 102, 170 146, 192, 219 166, 166, 166 Q4 2024 Financial Highlights Q4 2024 (1) See reconciliation of GAAP to non-GAAP financial measures on page 6 Q4 2023 Revenue $(56.9) million $14.9 million Adj. EBITDA1 $(73.1) million $(2.1) million Total Certs 26,065 26,263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23, 159, 221 149, 201, 61 20, 83, 150 3, 102, 170 146, 192, 219 166, 166, 166 2024 Financial Highlights FY 2024 (1) See reconciliation of GAAP to non-GAAP financial measures on page 6 FY 2023 Revenue $24.0 million $117.5 million Adj. EBITDA1 $(42.9) million $50.2 million Total Certs 110,652 122,984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23, 159, 221 149, 201, 61 20, 83, 150 3, 102, 170 146, 192, 219 166, 166, 166 Looking Ahead with Our New Chief Executive Officer At a high level, Jessica Buss, our new CEO, plans to focus on the following goals that are intended to drive value for our business: • Unit Economics: ◦ Focusing on profitable unit economics, growth, the right rate for individual loans, and a pricing approach that seeks to enhance predictability and reduce volatility for both current unit economics and our contract asset • Pricing Model: ◦ Focusing on a sophisticated, segmented and real-time data-driven pricing model designed to enhance predictability of the profit share component of revenue, given the complex macroeconomic environment • Tools and Scorecards: ◦ Continuing to enhance and refine our tools and scorecards in an effort to predict the frequency and severity of defaults • Costs and Processes: ◦ Identifying potential cost efficiencies and process improvements throughout the loan life cycle that may further streamline our business, as well as planning to focus our future investments on our core Lenders Protection Program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23, 159, 221 149, 201, 61 20, 83, 150 3, 102, 170 146, 192, 219 166, 166, 166 Key Performance Indicators Three Months Ended December 31, Year Ended December 31, 2024 2023 2024 2023 Certs Credit Union &amp; Bank 22,260 20,541 87,184 96,610 OEM 3,805 5,722 23,468 26,374 Total Certs 26,065 26,263 110,652 122,984 Unit Economics Avg. Profit Share Revenue per Cert (1) $ 314 $ 501 $ 479 $ 538 Avg. Program Fee Revenue per Cert $ 536 $ 519 $ 515 $ 527 Originations Facilitated Loan Origination Volume ($ in 000s) $ 732,129 $ 764,149 $ 3,111,753 $ 3,614,303 Average Loan Size $ 28,089 $ 29,096 $ 28,122 $ 29,388 Channel Overview New Vehicle Certs as a % of Total 11.9 % 13.9 % 12.1 % 13.4 % Used Vehicle Certs as a % of Total 88.1 % 86.1 % 87.9 % 86.6 % Indirect Certs as a % of Total 77.0 % 77.8 % 78.5 % 73.4 % Direct Certs as a % of Total 19.3 % 17.2 % 18.1 % 19.7 % Refinance Certs as a % of Total 3.7 % 5.0 % 3.4 % 6.9 % (1) Represents average profit share revenue per certified loan originated in the period excluding the impact of profit share revenue recognized in the period associated with historical vintages. The profit share revenue impact related to change in estimates of historical vintages was a reduction of $81.3 million and $96.1 million for the three months and year ended December 31, 2024, respectively, and reductions of $14.3 million and $22.8 million for the three months and year ended December 31, 2023, respectively.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23, 159, 221 149, 201, 61 20, 83, 150 3, 102, 170 146, 192, 219 166, 166, 166 Financial Results ($ in '000s) Three Months Ended December 31, Year Ended December 31, 2024 2023 2024 2023 Revenue Program fees $ 13,734 $ 13,482 $ 57,040 $ 64,092 Profit share(1) (73,160) (1,132) (43,123) 43,301 Claims administration and other service fees 2,502 2,589 10,107 10,067 Total revenue (56,924) 14,939 24,024 117,460 Cost of services 6,265 5,365 23,855 22,282 Gross profit (loss) (63,189) 9,574 169 95,178 Operating expenses General and administrative 10,549 12,002 43,867 43,043 Selling and marketing 3,958 4,349 17,218 17,485 Research and development 861 1,500 4,462 5,575 Total operating expenses 15,368 17,851 65,547 66,103 Operating income (loss) (78,557) (8,277) (65,378) 29,075 Interest expense (2,849) (2,820) (11,317) (10,661) Interest income 2,812 3,018 12,090 10,335 Other expense, net — 118 — 109 Income (loss) before income taxes (78,594) (7,961) (64,605) 28,858 Income tax expense (benefit)(2) 65,842 (3,119) 70,405 6,788 Net income (loss) $ (144,436) $ (4,842) $ (135,010) $ 22,070 (1) Profit share revenue was reduced by a change in estimate of historical vintages of $81.3 million and $14.3 million for the three months ended December 31, 2024 and 2023, respectively, and $96.1 million and $22.8 million for the years ended December 31, 2024 and 2023, respectively. (2) Income tax expense for the three months and year ended December 31, 2024 was impacted by the recording of a valuation allowance on all of our deferred tax assets during the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23, 159, 221 149, 201, 61 20, 83, 150 3, 102, 170 146, 192, 219 166, 166, 166 Reconciliation of GAAP to Non-GAAP Financial Measures Three Months Ended December 31, Year ended December 31, 2024 2023 2024 2023 Net income (loss) $ (144,436) $ (4,842) $ (135,010) $ 22,070 Non-GAAP adjustments: Interest expense 2,849 2,820 11,317 10,661 Income tax expense (benefit) 65,842 (3,119) 70,405 6,788 Depreciation and amortization expense 393 335 1,674 1,159 Share-based compensation expense 2,269 2,666 8,677 9,492 Total adjustments 71,353 2,702 92,073 28,100 Adjusted EBITDA $ (73,083) $ (2,140) $ (42,937) $ 50,170 Total revenue $ (56,924) $ 14,939 $ 24,024 $ 117,460 Adjusted EBITDA margin 128 % (14) % (179) % 43 % Adjusted EBITDA ($ in 000's)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23, 159, 221 149, 201, 61 20, 83, 150 3, 102, 170 146, 192, 219 166, 166, 166 Total Current Share Count Shares In thousands Total Shares Outstanding March 25, 2025 119,783 Treasury Shares 8,415 Total Shares Issued 128,198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Proxima Nov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4151</Words>
  <Characters>22994</Characters>
  <CharactersWithSpaces>26856</CharactersWithSpaces>
  <Paragraphs>593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lpro-20241231xersuppslid</dc:title>
</cp:coreProperties>
</file>