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137160</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225"/>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c>
          <w:tcPr>
            <w:tcW w:w="0" w:type="dxa"/>
            <w:vAlign w:val="bottom"/>
          </w:tcPr>
          <w:p>
            <w:pPr>
              <w:spacing w:after="0"/>
              <w:rPr>
                <w:sz w:val="1"/>
                <w:szCs w:val="1"/>
                <w:color w:val="auto"/>
              </w:rPr>
            </w:pPr>
          </w:p>
        </w:tc>
      </w:tr>
      <w:tr>
        <w:trPr>
          <w:trHeight w:val="144"/>
        </w:trPr>
        <w:tc>
          <w:tcPr>
            <w:tcW w:w="4300" w:type="dxa"/>
            <w:vAlign w:val="bottom"/>
          </w:tcPr>
          <w:p>
            <w:pPr>
              <w:jc w:val="center"/>
              <w:ind w:right="1858"/>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00" w:type="dxa"/>
            <w:vAlign w:val="bottom"/>
          </w:tcPr>
          <w:p>
            <w:pPr>
              <w:jc w:val="center"/>
              <w:ind w:right="185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0"/>
        </w:trPr>
        <w:tc>
          <w:tcPr>
            <w:tcW w:w="4300" w:type="dxa"/>
            <w:vAlign w:val="bottom"/>
          </w:tcPr>
          <w:p>
            <w:pPr>
              <w:jc w:val="center"/>
              <w:ind w:right="1838"/>
              <w:spacing w:after="0"/>
              <w:rPr>
                <w:sz w:val="20"/>
                <w:szCs w:val="20"/>
                <w:color w:val="auto"/>
              </w:rPr>
            </w:pPr>
            <w:r>
              <w:rPr>
                <w:rFonts w:ascii="Arial" w:cs="Arial" w:eastAsia="Arial" w:hAnsi="Arial"/>
                <w:sz w:val="18"/>
                <w:szCs w:val="18"/>
                <w:b w:val="1"/>
                <w:bCs w:val="1"/>
                <w:color w:val="auto"/>
                <w:w w:val="89"/>
              </w:rPr>
              <w:t>1501 S. MoPac Expressway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00" w:type="dxa"/>
            <w:vAlign w:val="bottom"/>
          </w:tcPr>
          <w:p>
            <w:pPr>
              <w:jc w:val="center"/>
              <w:ind w:right="1838"/>
              <w:spacing w:after="0" w:line="176" w:lineRule="exact"/>
              <w:rPr>
                <w:sz w:val="20"/>
                <w:szCs w:val="20"/>
                <w:color w:val="auto"/>
              </w:rPr>
            </w:pPr>
            <w:r>
              <w:rPr>
                <w:rFonts w:ascii="Arial" w:cs="Arial" w:eastAsia="Arial" w:hAnsi="Arial"/>
                <w:sz w:val="18"/>
                <w:szCs w:val="18"/>
                <w:b w:val="1"/>
                <w:bCs w:val="1"/>
                <w:color w:val="auto"/>
                <w:w w:val="88"/>
              </w:rPr>
              <w:t>Suite 450</w:t>
            </w:r>
          </w:p>
        </w:tc>
        <w:tc>
          <w:tcPr>
            <w:tcW w:w="30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20"/>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88"/>
              </w:rPr>
              <w:t>Austin, Texas</w:t>
            </w:r>
          </w:p>
        </w:tc>
        <w:tc>
          <w:tcPr>
            <w:tcW w:w="3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300" w:type="dxa"/>
            <w:vAlign w:val="bottom"/>
          </w:tcPr>
          <w:p>
            <w:pPr>
              <w:jc w:val="center"/>
              <w:ind w:right="18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51"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131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3, 2022, the registrant had 126,225,550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1088390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123825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149225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01"/>
        </w:trPr>
        <w:tc>
          <w:tcPr>
            <w:tcW w:w="20" w:type="dxa"/>
            <w:vAlign w:val="bottom"/>
          </w:tcPr>
          <w:p>
            <w:pPr>
              <w:spacing w:after="0"/>
              <w:rPr>
                <w:sz w:val="17"/>
                <w:szCs w:val="17"/>
                <w:color w:val="auto"/>
              </w:rPr>
            </w:pPr>
          </w:p>
        </w:tc>
        <w:tc>
          <w:tcPr>
            <w:tcW w:w="1540" w:type="dxa"/>
            <w:vAlign w:val="bottom"/>
            <w:gridSpan w:val="2"/>
          </w:tcPr>
          <w:p>
            <w:pPr>
              <w:spacing w:after="0" w:line="201"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40" w:type="dxa"/>
            <w:vAlign w:val="bottom"/>
            <w:gridSpan w:val="16"/>
          </w:tcPr>
          <w:p>
            <w:pPr>
              <w:spacing w:after="0" w:line="201"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3240" w:type="dxa"/>
            <w:vAlign w:val="bottom"/>
          </w:tcPr>
          <w:p>
            <w:pPr>
              <w:jc w:val="right"/>
              <w:spacing w:after="0" w:line="201"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 (Unaudited)</w:t>
              </w:r>
            </w:hyperlink>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40" w:type="dxa"/>
            <w:vAlign w:val="bottom"/>
            <w:tcBorders>
              <w:top w:val="single" w:sz="8" w:color="0000FF"/>
            </w:tcBorders>
            <w:gridSpan w:val="1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2200" w:type="dxa"/>
            <w:vAlign w:val="bottom"/>
            <w:gridSpan w:val="4"/>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w:t>
              </w:r>
            </w:hyperlink>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Changes in Stockholders’ Equity</w:t>
              </w:r>
            </w:hyperlink>
          </w:p>
        </w:tc>
        <w:tc>
          <w:tcPr>
            <w:tcW w:w="120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32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32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15">
              <w:r>
                <w:rPr>
                  <w:rFonts w:ascii="Arial" w:cs="Arial" w:eastAsia="Arial" w:hAnsi="Arial"/>
                  <w:sz w:val="18"/>
                  <w:szCs w:val="18"/>
                  <w:color w:val="auto"/>
                </w:rPr>
                <w:t>Item 2.</w:t>
              </w:r>
            </w:hyperlink>
          </w:p>
        </w:tc>
        <w:tc>
          <w:tcPr>
            <w:tcW w:w="64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3.</w:t>
              </w:r>
            </w:hyperlink>
          </w:p>
        </w:tc>
        <w:tc>
          <w:tcPr>
            <w:tcW w:w="43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Quantitative and Qualitative Disclosures about Market Risk</w:t>
              </w:r>
            </w:hyperlink>
          </w:p>
        </w:tc>
        <w:tc>
          <w:tcPr>
            <w:tcW w:w="2140" w:type="dxa"/>
            <w:vAlign w:val="bottom"/>
            <w:gridSpan w:val="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4.</w:t>
              </w:r>
            </w:hyperlink>
          </w:p>
        </w:tc>
        <w:tc>
          <w:tcPr>
            <w:tcW w:w="644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32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w:t>
              </w:r>
            </w:hyperlink>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2"/>
          </w:tcPr>
          <w:p>
            <w:pPr>
              <w:spacing w:after="0"/>
              <w:rPr>
                <w:sz w:val="22"/>
                <w:szCs w:val="22"/>
                <w:color w:val="auto"/>
              </w:rPr>
            </w:pPr>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5120" w:type="dxa"/>
            <w:vAlign w:val="bottom"/>
            <w:gridSpan w:val="1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2.</w:t>
              </w:r>
            </w:hyperlink>
          </w:p>
        </w:tc>
        <w:tc>
          <w:tcPr>
            <w:tcW w:w="43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Unregistered Sales of Equity Securities and Use of Proceeds</w:t>
              </w:r>
            </w:hyperlink>
          </w:p>
        </w:tc>
        <w:tc>
          <w:tcPr>
            <w:tcW w:w="2100" w:type="dxa"/>
            <w:vAlign w:val="bottom"/>
            <w:gridSpan w:val="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644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Default Upon Senior Securities</w:t>
              </w:r>
            </w:hyperlink>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4.</w:t>
              </w:r>
            </w:hyperlink>
          </w:p>
        </w:tc>
        <w:tc>
          <w:tcPr>
            <w:tcW w:w="2240" w:type="dxa"/>
            <w:vAlign w:val="bottom"/>
            <w:tcBorders>
              <w:top w:val="single" w:sz="8" w:color="0000FF"/>
            </w:tcBorders>
            <w:gridSpan w:val="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4200" w:type="dxa"/>
            <w:vAlign w:val="bottom"/>
            <w:gridSpan w:val="9"/>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5140" w:type="dxa"/>
            <w:vAlign w:val="bottom"/>
            <w:gridSpan w:val="1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1270"/>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3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rPr>
              <w:t>OPEN LENDING CORPORATION</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w w:val="89"/>
              </w:rPr>
              <w:t>(Unaudited, in thousands, except share data)</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116,454</w:t>
            </w: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70,542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202,794</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29"/>
        </w:trPr>
        <w:tc>
          <w:tcPr>
            <w:tcW w:w="7360" w:type="dxa"/>
            <w:vAlign w:val="bottom"/>
          </w:tcPr>
          <w:p>
            <w:pPr>
              <w:ind w:left="360"/>
              <w:spacing w:after="0"/>
              <w:rPr>
                <w:sz w:val="20"/>
                <w:szCs w:val="20"/>
                <w:color w:val="auto"/>
              </w:rPr>
            </w:pPr>
            <w:r>
              <w:rPr>
                <w:rFonts w:ascii="Arial" w:cs="Arial" w:eastAsia="Arial" w:hAnsi="Arial"/>
                <w:sz w:val="18"/>
                <w:szCs w:val="18"/>
                <w:color w:val="auto"/>
              </w:rPr>
              <w:t>Non-current contract assets,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42,414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65,503</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318,825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12,065</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143,135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159,345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159,843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Preferred stock, $0.01 par value; 10,000,000 shares authorized, none issued and outstanding</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60" w:type="dxa"/>
            <w:vAlign w:val="bottom"/>
          </w:tcPr>
          <w:p>
            <w:pPr>
              <w:ind w:left="360"/>
              <w:spacing w:after="0"/>
              <w:rPr>
                <w:sz w:val="20"/>
                <w:szCs w:val="20"/>
                <w:color w:val="auto"/>
              </w:rPr>
            </w:pPr>
            <w:r>
              <w:rPr>
                <w:rFonts w:ascii="Arial" w:cs="Arial" w:eastAsia="Arial" w:hAnsi="Arial"/>
                <w:sz w:val="18"/>
                <w:szCs w:val="18"/>
                <w:color w:val="auto"/>
                <w:w w:val="90"/>
              </w:rPr>
              <w:t>Common stock, $0.01 par value; 550,000,000 shares authorized, 128,198,185 shares issued and</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360"/>
              <w:spacing w:after="0" w:line="202" w:lineRule="exact"/>
              <w:rPr>
                <w:sz w:val="20"/>
                <w:szCs w:val="20"/>
                <w:color w:val="auto"/>
              </w:rPr>
            </w:pPr>
            <w:r>
              <w:rPr>
                <w:rFonts w:ascii="Arial" w:cs="Arial" w:eastAsia="Arial" w:hAnsi="Arial"/>
                <w:sz w:val="18"/>
                <w:szCs w:val="18"/>
                <w:color w:val="auto"/>
                <w:w w:val="98"/>
              </w:rPr>
              <w:t>126,225,550 shares outstanding as of June 30, 2022 and 128,198,185 shares issued and</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60" w:type="dxa"/>
            <w:vAlign w:val="bottom"/>
          </w:tcPr>
          <w:p>
            <w:pPr>
              <w:ind w:left="360"/>
              <w:spacing w:after="0"/>
              <w:rPr>
                <w:sz w:val="20"/>
                <w:szCs w:val="20"/>
                <w:color w:val="auto"/>
              </w:rPr>
            </w:pPr>
            <w:r>
              <w:rPr>
                <w:rFonts w:ascii="Arial" w:cs="Arial" w:eastAsia="Arial" w:hAnsi="Arial"/>
                <w:sz w:val="18"/>
                <w:szCs w:val="18"/>
                <w:color w:val="auto"/>
              </w:rPr>
              <w:t>126,212,876 shares outstanding as of December 31, 2021</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496,983</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(236,159)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(282,439)</w:t>
            </w:r>
          </w:p>
        </w:tc>
        <w:tc>
          <w:tcPr>
            <w:tcW w:w="0" w:type="dxa"/>
            <w:vAlign w:val="bottom"/>
          </w:tcPr>
          <w:p>
            <w:pPr>
              <w:spacing w:after="0"/>
              <w:rPr>
                <w:sz w:val="1"/>
                <w:szCs w:val="1"/>
                <w:color w:val="auto"/>
              </w:rPr>
            </w:pPr>
          </w:p>
        </w:tc>
      </w:tr>
      <w:tr>
        <w:trPr>
          <w:trHeight w:val="175"/>
        </w:trPr>
        <w:tc>
          <w:tcPr>
            <w:tcW w:w="73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Treasury stock at cost, 1,972,635 shares at June 30, 2022 and 1,985,309 at December 31, 2021,</w:t>
            </w:r>
          </w:p>
        </w:tc>
        <w:tc>
          <w:tcPr>
            <w:tcW w:w="2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(56,844)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207,468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158,982</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318,825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5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00"/>
              <w:spacing w:after="0"/>
              <w:rPr>
                <w:sz w:val="20"/>
                <w:szCs w:val="20"/>
                <w:color w:val="auto"/>
              </w:rPr>
            </w:pPr>
            <w:r>
              <w:rPr>
                <w:rFonts w:ascii="Arial" w:cs="Arial" w:eastAsia="Arial" w:hAnsi="Arial"/>
                <w:sz w:val="18"/>
                <w:szCs w:val="18"/>
                <w:color w:val="auto"/>
              </w:rPr>
              <w:t>Profit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38,842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66,572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Program fees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35,508</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Claims administration and other service fees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105,133</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97,631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29"/>
        </w:trPr>
        <w:tc>
          <w:tcPr>
            <w:tcW w:w="548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74,323</w:t>
            </w:r>
          </w:p>
        </w:tc>
        <w:tc>
          <w:tcPr>
            <w:tcW w:w="0" w:type="dxa"/>
            <w:vAlign w:val="bottom"/>
          </w:tcPr>
          <w:p>
            <w:pPr>
              <w:spacing w:after="0"/>
              <w:rPr>
                <w:sz w:val="1"/>
                <w:szCs w:val="1"/>
                <w:color w:val="auto"/>
              </w:rPr>
            </w:pPr>
          </w:p>
        </w:tc>
      </w:tr>
      <w:tr>
        <w:trPr>
          <w:trHeight w:val="229"/>
        </w:trPr>
        <w:tc>
          <w:tcPr>
            <w:tcW w:w="548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5480" w:type="dxa"/>
            <w:vAlign w:val="bottom"/>
          </w:tcPr>
          <w:p>
            <w:pPr>
              <w:ind w:left="300"/>
              <w:spacing w:after="0"/>
              <w:rPr>
                <w:sz w:val="20"/>
                <w:szCs w:val="20"/>
                <w:color w:val="auto"/>
              </w:rPr>
            </w:pPr>
            <w:r>
              <w:rPr>
                <w:rFonts w:ascii="Arial" w:cs="Arial" w:eastAsia="Arial" w:hAnsi="Arial"/>
                <w:sz w:val="18"/>
                <w:szCs w:val="18"/>
                <w:color w:val="auto"/>
              </w:rPr>
              <w:t>Gain on extinguishment of tax receivable agreement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55,422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30"/>
        </w:trPr>
        <w:tc>
          <w:tcPr>
            <w:tcW w:w="5480" w:type="dxa"/>
            <w:vAlign w:val="bottom"/>
          </w:tcPr>
          <w:p>
            <w:pPr>
              <w:ind w:left="30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99,233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63,171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116,565</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27,737</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23,126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75,966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46,280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88,828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126,221,689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126,230,752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126,218,710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126,515,343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126,222,366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126,274,197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126,219,115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126,554,082</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Additional Paid-in</w:t>
            </w:r>
          </w:p>
        </w:tc>
        <w:tc>
          <w:tcPr>
            <w:tcW w:w="16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Common Stock</w:t>
            </w: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108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5"/>
                <w:szCs w:val="5"/>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1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22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86"/>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496,983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(282,439)</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(1,985,309)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(56,844)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158,982</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Restricted stock units issued, net of shares withheld</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 taxes</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23,154</w:t>
            </w: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23,154</w:t>
            </w:r>
          </w:p>
        </w:tc>
        <w:tc>
          <w:tcPr>
            <w:tcW w:w="0" w:type="dxa"/>
            <w:vAlign w:val="bottom"/>
          </w:tcPr>
          <w:p>
            <w:pPr>
              <w:spacing w:after="0"/>
              <w:rPr>
                <w:sz w:val="1"/>
                <w:szCs w:val="1"/>
                <w:color w:val="auto"/>
              </w:rPr>
            </w:pPr>
          </w:p>
        </w:tc>
      </w:tr>
      <w:tr>
        <w:trPr>
          <w:trHeight w:val="186"/>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498,057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(259,285)</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(1,980,230)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(56,676)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183,378</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Restricted stock units issued, net of shares withheld</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09"/>
        </w:trPr>
        <w:tc>
          <w:tcPr>
            <w:tcW w:w="3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for taxes</w:t>
            </w:r>
          </w:p>
        </w:tc>
        <w:tc>
          <w:tcPr>
            <w:tcW w:w="106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220" w:type="dxa"/>
            <w:vAlign w:val="bottom"/>
            <w:vMerge w:val="continue"/>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23,126</w:t>
            </w: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23,126</w:t>
            </w:r>
          </w:p>
        </w:tc>
        <w:tc>
          <w:tcPr>
            <w:tcW w:w="0" w:type="dxa"/>
            <w:vAlign w:val="bottom"/>
          </w:tcPr>
          <w:p>
            <w:pPr>
              <w:spacing w:after="0"/>
              <w:rPr>
                <w:sz w:val="1"/>
                <w:szCs w:val="1"/>
                <w:color w:val="auto"/>
              </w:rPr>
            </w:pPr>
          </w:p>
        </w:tc>
      </w:tr>
      <w:tr>
        <w:trPr>
          <w:trHeight w:val="184"/>
        </w:trPr>
        <w:tc>
          <w:tcPr>
            <w:tcW w:w="322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Balance as of June 30, 2022</w:t>
            </w: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498,745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(236,159)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(1,972,635)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(56,400)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207,468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Additional Paid-in</w:t>
            </w:r>
          </w:p>
        </w:tc>
        <w:tc>
          <w:tcPr>
            <w:tcW w:w="16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Common Stock</w:t>
            </w: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100" w:type="dxa"/>
            <w:vAlign w:val="bottom"/>
            <w:gridSpan w:val="5"/>
            <w:vMerge w:val="restart"/>
          </w:tcPr>
          <w:p>
            <w:pPr>
              <w:ind w:left="540"/>
              <w:spacing w:after="0" w:line="135"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108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5"/>
                <w:szCs w:val="5"/>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1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32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86"/>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491,246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(428,406)</w:t>
            </w: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26,622</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9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0" w:type="dxa"/>
            <w:vAlign w:val="bottom"/>
          </w:tcPr>
          <w:p>
            <w:pPr>
              <w:spacing w:after="0"/>
              <w:rPr>
                <w:sz w:val="1"/>
                <w:szCs w:val="1"/>
                <w:color w:val="auto"/>
              </w:rPr>
            </w:pPr>
          </w:p>
        </w:tc>
      </w:tr>
      <w:tr>
        <w:trPr>
          <w:trHeight w:val="181"/>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491,947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(415,544)</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40,185</w:t>
            </w:r>
          </w:p>
        </w:tc>
        <w:tc>
          <w:tcPr>
            <w:tcW w:w="0" w:type="dxa"/>
            <w:vAlign w:val="bottom"/>
          </w:tcPr>
          <w:p>
            <w:pPr>
              <w:spacing w:after="0"/>
              <w:rPr>
                <w:sz w:val="1"/>
                <w:szCs w:val="1"/>
                <w:color w:val="auto"/>
              </w:rPr>
            </w:pPr>
          </w:p>
        </w:tc>
      </w:tr>
      <w:tr>
        <w:trPr>
          <w:trHeight w:val="190"/>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Share repurchase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(612,745)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0" w:type="dxa"/>
            <w:vAlign w:val="bottom"/>
          </w:tcPr>
          <w:p>
            <w:pPr>
              <w:spacing w:after="0"/>
              <w:rPr>
                <w:sz w:val="1"/>
                <w:szCs w:val="1"/>
                <w:color w:val="auto"/>
              </w:rPr>
            </w:pPr>
          </w:p>
        </w:tc>
      </w:tr>
      <w:tr>
        <w:trPr>
          <w:trHeight w:val="181"/>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492,874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(339,578)</w:t>
            </w: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(2,007,834)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(57,500)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97,078</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38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8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b w:val="1"/>
                <w:bCs w:val="1"/>
                <w:color w:val="auto"/>
              </w:rPr>
              <w:t>2021</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35"/>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46,280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88,828</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1,628</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40"/>
        </w:trPr>
        <w:tc>
          <w:tcPr>
            <w:tcW w:w="7860" w:type="dxa"/>
            <w:vAlign w:val="bottom"/>
          </w:tcPr>
          <w:p>
            <w:pPr>
              <w:ind w:left="360"/>
              <w:spacing w:after="0"/>
              <w:rPr>
                <w:sz w:val="20"/>
                <w:szCs w:val="20"/>
                <w:color w:val="auto"/>
              </w:rPr>
            </w:pPr>
            <w:r>
              <w:rPr>
                <w:rFonts w:ascii="Arial" w:cs="Arial" w:eastAsia="Arial" w:hAnsi="Arial"/>
                <w:sz w:val="16"/>
                <w:szCs w:val="16"/>
                <w:color w:val="auto"/>
              </w:rPr>
              <w:t>Non-cash operating lease cost</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extinguishment of tax receivable agreement</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(55,422)</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8,778</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Changes in assets &amp; liabilities: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Contract assets, net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(22,591)</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(1,455)</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Income tax payable/receivable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(1,720)</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53,587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32,983</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property and equipment</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(841)</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loans</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revolving facility</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term loans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(167,628)</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Payments on revolving facility</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deferred financing costs</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Shares withheld for taxes for restricted stock units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tax receivable agreement</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(36,948)</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Share repurchase</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(76,245)</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51,598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(44,103)</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beginning of the period</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119,509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104,148</w:t>
            </w: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171,107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60,045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020" w:type="dxa"/>
            <w:vAlign w:val="bottom"/>
          </w:tcPr>
          <w:p>
            <w:pPr>
              <w:jc w:val="right"/>
              <w:ind w:right="835"/>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3,776</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paid,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12,452</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Internally developed software costs accrued but not paid</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color w:val="auto"/>
              </w:rPr>
              <w:t>Property and equipment accrued but not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Open Lending Corporation (individually or together with its subsidiaries, as the context requires, the “Company”), headquartered in Austin, Texas, provides loan analytics, risk-based loan pricing, risk modeling, and automated decision technology for automotive lenders throughout the United States (“U.S.”), which allows each lending institution to book incremental near-prime and non-prime automotive loans out of their existing business flow. The Company also operates as a third-party administrator that adjudicates insurance claims and refunds on its automotive loans.</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refers to Open Lending, LLC and Nebula Acquisition Corporation prior to the Closing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U.S., and all of its revenues are attributable to U.S.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retained earnings.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information and footnote disclosures normally included in annual financial statements prepared in accordance with GAAP have been omitted from these condensed consolidated financial statements, as permitted by Securities and Exchange Commission (“SEC”) rules and regulations. The Company believes the disclosures made in these condensed consolidated financial statements are adequate to make the information herein not misleading. The Company recommends that these condensed consolidated financial statements be read in conjunction with its audited consolidated financial statements and related notes thereto included in the Company’s Annual Report on Form 10-K for the year ended December 31, 2021 (“Annual Report”).</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interim data includes all adjustments that are, in the opinion of the Company’s management, necessary for a fair statement of the results for the interim periods presented. The results of operations for the three and six months ended June 30, 2022 are not necessarily indicative of the Company’s operating results for the entire fiscal year ending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revenue and credit risks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three largest insurance carrier partners accounted for 38%, 11% and 11% of the Company’s total revenue during the three months ended June 30, 2022 and 38%, 13% and 10% during the six months ended June 30, 2022. The Company’s two largest insurance carriers accounted for 43% and 24% of the Company’s total revenue during the three months ended June 30, 2021 and accounted for 43% and 23% for the six months ended June 30, 2021. In the event that one or more of the Company’s significant insurance carriers terminates their relationship with the Company, it could have a material and adverse effect on the Company’s business and, in turn, its revenue. Financial instruments that potentially subject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credit risk consist of cash and cash equivalents, restricted cash, accounts receivable and contract assets to the extent of the amounts recorded on the balance sheets.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are deposited in commercial analysis and savings accounts at two financial institutions, both with high credit standing. Restricted cash relates to funds held by the Company on behalf of the insurance carriers, delegated for the use of insurance claim payments. Restricted cash is deposited in commercial analysis accounts at one financial institution. The Company has not experienced any losses on its deposits of cash and cash equivalents and management believes the Company is not exposed to significant risks on such accounts.</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2022, the Company had one customer that individually accounted for 10% of the Company’s net accounts receivable. At December 31, 2021, the Company had two customers that each represented 10% of the Company’s net accounts receivable.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have material accounts receivable or contract asset balances that are past due and has not written off any material balance in its portfolio for the periods presented. The allowance for expected credit losses on accounts receivable and contract assets receivable was less than $0.2 million at June 30, 2022 and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in the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most significant items subject to such estimates and assumptions include, but are not limited to, profit share revenue recognition and the corresponding impact on contract assets, the recognition of the valuations of share-based compensation arrangements, and assessing the realizability of deferred tax assets. These estimates, although based on actual historical trend and modeling, may potentially show significant variances over time.</w:t>
      </w:r>
    </w:p>
    <w:p>
      <w:pPr>
        <w:spacing w:after="0" w:line="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profit share revenue recognition and the estimation of contract assets under Accounting Standards Update (“ASU”) 2014-09, Revenue from Contracts with Customers (Topic 606) (“ASC 606”), the Company uses forecasts of loan-level earned premium and insurance claim payments. These forecasts are driven by the projection of loan defaults, prepayments and default severity rates. These assumptions are based on the Company’s observations of the historical behavior for loans with similar risk characteristics. The assumptions also take into consideration the forecast adjustments under various macroeconomic conditions, including the current mix of the underlying portfolio of our insurance partners. As a result of the changes in facts and circumstances and general market conditions for the three and six months ended June 30, 2022, management has accordingly adjusted these assumptions.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but not yet adopted accounting pronouncements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2020, the FASB issued ASU 2020-04, Reference Rate Reform within Topic 848,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has not experienced any unintended outcomes or consequences of reference rate reform that would necessitate the adoption of this guidance. The Company will not need to consider the application of this guidance related to its credit agreements as such agreements provide for a replacement rate when LIBOR is discontinued. The Company will continue to closely monitor all potential instances of reference rate reform to determine if the adoption of ASU 2020-04 becomes necessary in the future.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profit share revenue, program fee revenue and claims administration services revenue (“TPA fees”) for amounts not yet billed, and the right to consideration is conditional on something other than the passage of time. Accounts receivable are recorded when the customer has been billed or the right to consideration is unconditional.</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and six months ended June 30, 2022, contract asset adjustments attributable to profit share revenue forecast were $2.8 million and $5.5 million, respectively, as compared to contract asset adjustments of $11.8 million and $16.9 million, during the three and six months ended June 30, 2021, respectively.</w:t>
      </w:r>
    </w:p>
    <w:p>
      <w:pPr>
        <w:sectPr>
          <w:pgSz w:w="11900" w:h="16838" w:orient="portrait"/>
          <w:cols w:equalWidth="0" w:num="1">
            <w:col w:w="11240"/>
          </w:cols>
          <w:pgMar w:left="320" w:top="125"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balances for the periods indicated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March 31, 2022</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due to new business generation</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Change in estimates of revenue from performance obligations satisfied in previous periods</w:t>
      </w:r>
    </w:p>
    <w:p>
      <w:pPr>
        <w:spacing w:after="0" w:line="1" w:lineRule="exact"/>
        <w:rPr>
          <w:sz w:val="20"/>
          <w:szCs w:val="20"/>
          <w:color w:val="auto"/>
        </w:rPr>
      </w:pPr>
    </w:p>
    <w:p>
      <w:pPr>
        <w:ind w:left="20" w:right="320"/>
        <w:spacing w:after="0" w:line="234" w:lineRule="auto"/>
        <w:rPr>
          <w:sz w:val="20"/>
          <w:szCs w:val="20"/>
          <w:color w:val="auto"/>
        </w:rPr>
      </w:pPr>
      <w:r>
        <w:rPr>
          <w:rFonts w:ascii="Arial" w:cs="Arial" w:eastAsia="Arial" w:hAnsi="Arial"/>
          <w:sz w:val="18"/>
          <w:szCs w:val="18"/>
          <w:color w:val="auto"/>
        </w:rPr>
        <w:t>Receivables transferred from contract assets upon billing the lending institutions</w:t>
      </w:r>
    </w:p>
    <w:p>
      <w:pPr>
        <w:spacing w:after="0" w:line="1" w:lineRule="exact"/>
        <w:rPr>
          <w:sz w:val="20"/>
          <w:szCs w:val="20"/>
          <w:color w:val="auto"/>
        </w:rPr>
      </w:pPr>
    </w:p>
    <w:p>
      <w:pPr>
        <w:ind w:left="20" w:right="2200"/>
        <w:spacing w:after="0" w:line="322" w:lineRule="auto"/>
        <w:rPr>
          <w:sz w:val="20"/>
          <w:szCs w:val="20"/>
          <w:color w:val="auto"/>
        </w:rPr>
      </w:pPr>
      <w:r>
        <w:rPr>
          <w:rFonts w:ascii="Arial" w:cs="Arial" w:eastAsia="Arial" w:hAnsi="Arial"/>
          <w:sz w:val="16"/>
          <w:szCs w:val="16"/>
          <w:color w:val="auto"/>
        </w:rPr>
        <w:t>Payments received from insurance carriers Provision for expected credit losses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right="2180"/>
        <w:spacing w:after="0" w:line="302" w:lineRule="auto"/>
        <w:rPr>
          <w:sz w:val="20"/>
          <w:szCs w:val="20"/>
          <w:color w:val="auto"/>
        </w:rPr>
      </w:pPr>
      <w:r>
        <w:rPr>
          <w:rFonts w:ascii="Arial" w:cs="Arial" w:eastAsia="Arial" w:hAnsi="Arial"/>
          <w:sz w:val="16"/>
          <w:szCs w:val="16"/>
          <w:b w:val="1"/>
          <w:bCs w:val="1"/>
          <w:color w:val="auto"/>
        </w:rPr>
        <w:t xml:space="preserve">Ending balance as of December 31, 2021 </w:t>
      </w:r>
      <w:r>
        <w:rPr>
          <w:rFonts w:ascii="Arial" w:cs="Arial" w:eastAsia="Arial" w:hAnsi="Arial"/>
          <w:sz w:val="16"/>
          <w:szCs w:val="16"/>
          <w:color w:val="auto"/>
        </w:rPr>
        <w:t>Increase due to new business generation</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Change in estimates of revenue from performance obligations satisfied in previous periods</w:t>
      </w:r>
    </w:p>
    <w:p>
      <w:pPr>
        <w:spacing w:after="0" w:line="1" w:lineRule="exact"/>
        <w:rPr>
          <w:sz w:val="20"/>
          <w:szCs w:val="20"/>
          <w:color w:val="auto"/>
        </w:rPr>
      </w:pPr>
    </w:p>
    <w:p>
      <w:pPr>
        <w:ind w:left="20" w:right="320"/>
        <w:spacing w:after="0" w:line="234" w:lineRule="auto"/>
        <w:rPr>
          <w:sz w:val="20"/>
          <w:szCs w:val="20"/>
          <w:color w:val="auto"/>
        </w:rPr>
      </w:pPr>
      <w:r>
        <w:rPr>
          <w:rFonts w:ascii="Arial" w:cs="Arial" w:eastAsia="Arial" w:hAnsi="Arial"/>
          <w:sz w:val="18"/>
          <w:szCs w:val="18"/>
          <w:color w:val="auto"/>
        </w:rPr>
        <w:t>Receivables transferred from contract assets upon billing the lending institutions</w:t>
      </w:r>
    </w:p>
    <w:p>
      <w:pPr>
        <w:spacing w:after="0" w:line="1" w:lineRule="exact"/>
        <w:rPr>
          <w:sz w:val="20"/>
          <w:szCs w:val="20"/>
          <w:color w:val="auto"/>
        </w:rPr>
      </w:pPr>
    </w:p>
    <w:p>
      <w:pPr>
        <w:ind w:left="20" w:right="2200"/>
        <w:spacing w:after="0" w:line="322" w:lineRule="auto"/>
        <w:rPr>
          <w:sz w:val="20"/>
          <w:szCs w:val="20"/>
          <w:color w:val="auto"/>
        </w:rPr>
      </w:pPr>
      <w:r>
        <w:rPr>
          <w:rFonts w:ascii="Arial" w:cs="Arial" w:eastAsia="Arial" w:hAnsi="Arial"/>
          <w:sz w:val="16"/>
          <w:szCs w:val="16"/>
          <w:color w:val="auto"/>
        </w:rPr>
        <w:t>Payments received from insurance carriers Provision for expected credit losses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Contract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TPA Fees</w:t>
            </w: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2"/>
              </w:rPr>
              <w:t>Fees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100,008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1,360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6,084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107,452</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49,219</w:t>
            </w: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404"/>
        </w:trPr>
        <w:tc>
          <w:tcPr>
            <w:tcW w:w="2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(20,178)</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1"/>
              </w:rPr>
              <w:t>(2,078)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(32,574)</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98,672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106,748</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TPA Fees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2"/>
              </w:rPr>
              <w:t>Fees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105,486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6,154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112,956</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96,644</w:t>
            </w: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404"/>
        </w:trPr>
        <w:tc>
          <w:tcPr>
            <w:tcW w:w="2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1"/>
              </w:rPr>
              <w:t>(4,065)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(68,392)</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106,748</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-3479800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-3205480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-2802255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-2399665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-1414145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-1139190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-736600</wp:posOffset>
            </wp:positionV>
            <wp:extent cx="713232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-334010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00"/>
            <w:col w:w="5640"/>
          </w:cols>
          <w:pgMar w:left="320" w:top="125" w:right="339" w:bottom="1440" w:gutter="0" w:footer="0" w:header="0"/>
          <w:type w:val="continuous"/>
        </w:sectPr>
      </w:pPr>
    </w:p>
    <w:p>
      <w:pPr>
        <w:spacing w:after="0" w:line="21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30, 2022 and December 31, 2021, the portion of the contract assets’ balance estimated to be received within one year consisted of $73.3 million and $70.5 million, respectively, and the portion of estimated to be received beyond one year consisted of $33.4 million and $42.4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Note 4—Debt</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7360" w:type="dxa"/>
            <w:vAlign w:val="bottom"/>
          </w:tcPr>
          <w:p>
            <w:pPr>
              <w:spacing w:after="0"/>
              <w:rPr>
                <w:sz w:val="20"/>
                <w:szCs w:val="20"/>
                <w:color w:val="auto"/>
              </w:rPr>
            </w:pPr>
            <w:r>
              <w:rPr>
                <w:rFonts w:ascii="Arial" w:cs="Arial" w:eastAsia="Arial" w:hAnsi="Arial"/>
                <w:sz w:val="18"/>
                <w:szCs w:val="18"/>
                <w:color w:val="auto"/>
              </w:rPr>
              <w:t>Debt balances for the periods indicated below were as follows: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7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2021</w:t>
            </w:r>
          </w:p>
        </w:tc>
      </w:tr>
      <w:tr>
        <w:trPr>
          <w:trHeight w:val="189"/>
        </w:trPr>
        <w:tc>
          <w:tcPr>
            <w:tcW w:w="7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620" w:type="dxa"/>
            <w:vAlign w:val="bottom"/>
            <w:tcBorders>
              <w:bottom w:val="single" w:sz="8" w:color="CCEEFF"/>
            </w:tcBorders>
            <w:gridSpan w:val="4"/>
            <w:shd w:val="clear" w:color="auto" w:fill="CCEEFF"/>
          </w:tcPr>
          <w:p>
            <w:pPr>
              <w:jc w:val="right"/>
              <w:ind w:right="1450"/>
              <w:spacing w:after="0"/>
              <w:rPr>
                <w:sz w:val="20"/>
                <w:szCs w:val="20"/>
                <w:color w:val="auto"/>
              </w:rPr>
            </w:pPr>
            <w:r>
              <w:rPr>
                <w:rFonts w:ascii="Arial" w:cs="Arial" w:eastAsia="Arial" w:hAnsi="Arial"/>
                <w:sz w:val="14"/>
                <w:szCs w:val="14"/>
                <w:i w:val="1"/>
                <w:iCs w:val="1"/>
                <w:color w:val="auto"/>
              </w:rPr>
              <w:t>(in thousands)</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Revolving Facility, matures in 2026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2026</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122,656</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7"/>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146,260</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Less: current portion of debt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(3,125)</w:t>
            </w:r>
          </w:p>
        </w:tc>
      </w:tr>
      <w:tr>
        <w:trPr>
          <w:trHeight w:val="27"/>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140,959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143,135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due 2027</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 debt extinguishment under ASC Topic 405-20, “Liabilities—Extinguishments of Liabilities,” and accordingly, the Company recognized a non-cash debt extinguishment loss of $8.8 million, which was recorded under the caption loss on extinguishment of debt in the consolidated statements of operations during the six months ended June 30, 2021. The loss on debt extinguishment was calculated as the difference between the carrying amount of the debt and the price paid to retire the debt, which primarily consisted of the write-off of the unamortized deferred financing costs related to the Term Loan due 2027.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Agreement—Term Loan due 2026 and Revolving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the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the Company’s Funded Secured Debt/EBITDA ratio increase or decreases.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both the Term Loan due 2026 and the Revolving Facility are subject a LIBOR rate of 1.66% plus a spread of 1.75% per annum.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 were accrued at 0.20% under the Revolving Facility’s unused commitment balance of $25.0 million at June 30, 2022.</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Unamortized deferred financing costs were $1.2 million as of June 30, 2022. As of June 30, 2022, the weighted average effective interest rate on the Company’s outstanding borrowings was 3.64%.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Credit Agreement contains a maximum total net leverage ratio financial covenant and a minimum fixed charge coverage ratio financial covenant that are tested quarterly. The maximum total net leverage ratio is 3.5 to 1.0 for periods on or prior to December 31, 2022, and then decreases to 3.0 to 1.0 after December 31, 2022. The minimum fixed charge coverage ratio is 1.25 to 1.0. As of June 30, 2022, the Company was in compliance with all required covenants under the New Credit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Stock Option and Incentive Plan (the “2020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2020 Plan, approved on June 9, 2020, provides for the grant of stock options, stock appreciation rights, restricted stock units and other stock or cash-based awards. The Company initially reserved 9,693,750 shares, approximately 10% of the number of shares of its common stock outstanding upon the Closing Date, as the “Initial Limit” for the issuance of awards under the 2020 Plan. The 2020 Plan provides that beginning on January 1, 2021, the number of shares reserved and available for issuance under the plan will automatically increase each January 1st by 4% of the outstanding number of shares of the Company’s common stock on the immediately preceding December 31st, or the “Annual Increase.” This limit is subject to adjustment in the event of a stock split, stock dividend or other change in the Company’s capitalization. As of June 30, 2022, there were 18,801,465 shares reserved and available for issuance under the 2020 Plan, which includes the 4% annual increase in 2022 less restricted stock units, performance stock units and stock options granted under the 2020 Plan.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w w:val="92"/>
              </w:rPr>
              <w:t>Share-based compensation expense recorded for each type of award is as follows: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140" w:type="dxa"/>
            <w:vAlign w:val="bottom"/>
          </w:tcPr>
          <w:p>
            <w:pPr>
              <w:spacing w:after="0"/>
              <w:rPr>
                <w:sz w:val="24"/>
                <w:szCs w:val="24"/>
                <w:color w:val="auto"/>
              </w:rPr>
            </w:pPr>
          </w:p>
        </w:tc>
        <w:tc>
          <w:tcPr>
            <w:tcW w:w="258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w w:val="97"/>
              </w:rPr>
              <w:t>Three Months Ended June 30,</w:t>
            </w:r>
          </w:p>
        </w:tc>
        <w:tc>
          <w:tcPr>
            <w:tcW w:w="280" w:type="dxa"/>
            <w:vAlign w:val="bottom"/>
          </w:tcPr>
          <w:p>
            <w:pPr>
              <w:spacing w:after="0"/>
              <w:rPr>
                <w:sz w:val="24"/>
                <w:szCs w:val="24"/>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19"/>
                <w:szCs w:val="19"/>
                <w:color w:val="auto"/>
              </w:rPr>
            </w:pPr>
          </w:p>
        </w:tc>
        <w:tc>
          <w:tcPr>
            <w:tcW w:w="2580" w:type="dxa"/>
            <w:vAlign w:val="bottom"/>
            <w:gridSpan w:val="6"/>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Total share-based compensation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performance-based restricted units, the Company evaluates the probability of achieving performance goals on a quarterly basis and recognizes share based compensation to the extent achievement of performance goals is considered probable. During the three months ended June 30, 2022 the Company determined certain performance goals are improbable of being achieved and recorded a reduction to share-based compensation of $0.3 million representing a change in estimate from previously reported share-based compensation. The Company evaluated the probability of achieving performance goals related to the performance-based restricted stock units awarded during the three months ended June 30, 2022, and determined that achievement of the performance goals is not probable, and accordingly, share-based compensation has not been recorded related to the awards.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2022 and 2021, share-based compensation expense was allocated to cost of services, general and administrative, selling and marketing, and research and development, generally based on the functional responsibilities of the award recipient in the accompanying condensed consolidated statements of operations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6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w w:val="97"/>
              </w:rPr>
              <w:t>Three Months Ended June 30,</w:t>
            </w:r>
          </w:p>
        </w:tc>
        <w:tc>
          <w:tcPr>
            <w:tcW w:w="28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24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Arial" w:cs="Arial" w:eastAsia="Arial" w:hAnsi="Arial"/>
                <w:sz w:val="18"/>
                <w:szCs w:val="18"/>
                <w:color w:val="auto"/>
              </w:rPr>
              <w:t>11</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related to the Company’s share-based compensation award activity for the six months ended June 30,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Time-Based</w:t>
            </w:r>
          </w:p>
        </w:tc>
        <w:tc>
          <w:tcPr>
            <w:tcW w:w="2800" w:type="dxa"/>
            <w:vAlign w:val="bottom"/>
            <w:gridSpan w:val="4"/>
            <w:vMerge w:val="restart"/>
          </w:tcPr>
          <w:p>
            <w:pPr>
              <w:jc w:val="right"/>
              <w:ind w:right="77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vMerge w:val="restart"/>
          </w:tcPr>
          <w:p>
            <w:pPr>
              <w:spacing w:after="0"/>
              <w:rPr>
                <w:sz w:val="17"/>
                <w:szCs w:val="17"/>
                <w:color w:val="auto"/>
              </w:rPr>
            </w:pPr>
          </w:p>
        </w:tc>
        <w:tc>
          <w:tcPr>
            <w:tcW w:w="2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Performance-Based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Restricted Stock Units</w:t>
            </w:r>
          </w:p>
        </w:tc>
        <w:tc>
          <w:tcPr>
            <w:tcW w:w="100" w:type="dxa"/>
            <w:vAlign w:val="bottom"/>
          </w:tcPr>
          <w:p>
            <w:pPr>
              <w:spacing w:after="0"/>
              <w:rPr>
                <w:sz w:val="19"/>
                <w:szCs w:val="19"/>
                <w:color w:val="auto"/>
              </w:rPr>
            </w:pPr>
          </w:p>
        </w:tc>
        <w:tc>
          <w:tcPr>
            <w:tcW w:w="280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4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vMerge w:val="continue"/>
          </w:tcPr>
          <w:p>
            <w:pPr>
              <w:spacing w:after="0"/>
              <w:rPr>
                <w:sz w:val="15"/>
                <w:szCs w:val="15"/>
                <w:color w:val="auto"/>
              </w:rPr>
            </w:pPr>
          </w:p>
        </w:tc>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Awards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Outstanding as of December 31,</w:t>
            </w:r>
          </w:p>
        </w:tc>
        <w:tc>
          <w:tcPr>
            <w:tcW w:w="1340" w:type="dxa"/>
            <w:vAlign w:val="bottom"/>
            <w:vMerge w:val="restart"/>
            <w:shd w:val="clear" w:color="auto" w:fill="CCEEFF"/>
          </w:tcPr>
          <w:p>
            <w:pPr>
              <w:ind w:left="680"/>
              <w:spacing w:after="0"/>
              <w:rPr>
                <w:sz w:val="20"/>
                <w:szCs w:val="20"/>
                <w:color w:val="auto"/>
              </w:rPr>
            </w:pPr>
            <w:r>
              <w:rPr>
                <w:rFonts w:ascii="Arial" w:cs="Arial" w:eastAsia="Arial" w:hAnsi="Arial"/>
                <w:sz w:val="18"/>
                <w:szCs w:val="18"/>
                <w:b w:val="1"/>
                <w:bCs w:val="1"/>
                <w:color w:val="auto"/>
                <w:w w:val="98"/>
              </w:rPr>
              <w:t>231,625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35.17</w:t>
            </w: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194,348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99,289</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ind w:left="680"/>
              <w:spacing w:after="0"/>
              <w:rPr>
                <w:sz w:val="20"/>
                <w:szCs w:val="20"/>
                <w:color w:val="auto"/>
              </w:rPr>
            </w:pPr>
            <w:r>
              <w:rPr>
                <w:rFonts w:ascii="Arial" w:cs="Arial" w:eastAsia="Arial" w:hAnsi="Arial"/>
                <w:sz w:val="18"/>
                <w:szCs w:val="18"/>
                <w:color w:val="auto"/>
                <w:w w:val="98"/>
              </w:rPr>
              <w:t>352,177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139,662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(17,691)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3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2"/>
              </w:rPr>
              <w:t>(22,752)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Outstanding as of June 30, 2022</w:t>
            </w:r>
          </w:p>
        </w:tc>
        <w:tc>
          <w:tcPr>
            <w:tcW w:w="13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w w:val="98"/>
              </w:rPr>
              <w:t>543,359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234,077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future share-based compensation expense for the outstanding awards at June 30,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Unrecognized Share-based</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w w:val="97"/>
              </w:rPr>
              <w:t>Weighted Average Amortization</w:t>
            </w:r>
          </w:p>
        </w:tc>
      </w:tr>
      <w:tr>
        <w:trPr>
          <w:trHeight w:val="229"/>
        </w:trPr>
        <w:tc>
          <w:tcPr>
            <w:tcW w:w="5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Compensation Expense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Period</w:t>
            </w:r>
          </w:p>
        </w:tc>
      </w:tr>
      <w:tr>
        <w:trPr>
          <w:trHeight w:val="223"/>
        </w:trPr>
        <w:tc>
          <w:tcPr>
            <w:tcW w:w="5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years</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2.07 years</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years</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unrecognized share-based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17,933</w:t>
            </w:r>
          </w:p>
        </w:tc>
        <w:tc>
          <w:tcPr>
            <w:tcW w:w="100" w:type="dxa"/>
            <w:vAlign w:val="bottom"/>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 years</w:t>
            </w: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and six months ended June 30, 2022 and 2021 were time-based restricted stock units. The potentially dilutive common shares during the same periods did not include unvested stock options and performance-based restricted stock units containing unmet performance conditions.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and six months ended June 30, 2022 and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4"/>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6"/>
            <w:shd w:val="clear" w:color="auto" w:fill="CCEEFF"/>
          </w:tcPr>
          <w:p>
            <w:pPr>
              <w:ind w:left="80"/>
              <w:spacing w:after="0"/>
              <w:rPr>
                <w:sz w:val="20"/>
                <w:szCs w:val="20"/>
                <w:color w:val="auto"/>
              </w:rPr>
            </w:pPr>
            <w:r>
              <w:rPr>
                <w:rFonts w:ascii="Arial" w:cs="Arial" w:eastAsia="Arial" w:hAnsi="Arial"/>
                <w:sz w:val="14"/>
                <w:szCs w:val="14"/>
                <w:i w:val="1"/>
                <w:iCs w:val="1"/>
                <w:color w:val="auto"/>
                <w:w w:val="97"/>
              </w:rPr>
              <w:t>(in thousands, except shares and per share data)</w:t>
            </w:r>
          </w:p>
        </w:tc>
        <w:tc>
          <w:tcPr>
            <w:tcW w:w="3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23,126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46,280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126,221,689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7"/>
              </w:rPr>
              <w:t>126,230,752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126,218,710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5"/>
              </w:rPr>
              <w:t>126,515,343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w w:val="92"/>
              </w:rPr>
              <w:t>Basic net income per share attributable to common stockholders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1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2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Numerator</w:t>
            </w:r>
          </w:p>
        </w:tc>
        <w:tc>
          <w:tcPr>
            <w:tcW w:w="29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23,126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Basic weighted average common shares</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126,221,689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126,230,752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126,218,710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126,515,343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3"/>
          </w:tcPr>
          <w:p>
            <w:pPr>
              <w:ind w:left="500"/>
              <w:spacing w:after="0"/>
              <w:rPr>
                <w:sz w:val="20"/>
                <w:szCs w:val="20"/>
                <w:color w:val="auto"/>
              </w:rPr>
            </w:pPr>
            <w:r>
              <w:rPr>
                <w:rFonts w:ascii="Arial" w:cs="Arial" w:eastAsia="Arial" w:hAnsi="Arial"/>
                <w:sz w:val="18"/>
                <w:szCs w:val="18"/>
                <w:color w:val="auto"/>
              </w:rPr>
              <w:t>Dilutive effect of outstanding Time-Based Restricted Stock</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5180" w:type="dxa"/>
            <w:vAlign w:val="bottom"/>
            <w:tcBorders>
              <w:bottom w:val="single" w:sz="8" w:color="CCEEFF"/>
            </w:tcBorders>
            <w:gridSpan w:val="3"/>
          </w:tcPr>
          <w:p>
            <w:pPr>
              <w:ind w:left="500"/>
              <w:spacing w:after="0"/>
              <w:rPr>
                <w:sz w:val="20"/>
                <w:szCs w:val="20"/>
                <w:color w:val="auto"/>
              </w:rPr>
            </w:pPr>
            <w:r>
              <w:rPr>
                <w:rFonts w:ascii="Arial" w:cs="Arial" w:eastAsia="Arial" w:hAnsi="Arial"/>
                <w:sz w:val="18"/>
                <w:szCs w:val="18"/>
                <w:color w:val="auto"/>
              </w:rPr>
              <w:t>Units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126,222,366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126,274,197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126,219,115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126,554,082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8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b w:val="1"/>
                <w:bCs w:val="1"/>
                <w:color w:val="auto"/>
              </w:rPr>
              <w:t>Diluted net income per share attributable to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12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0.37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as of June 30, 2022 and 2021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ind w:left="7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40" w:type="dxa"/>
            <w:vAlign w:val="bottom"/>
          </w:tcPr>
          <w:p>
            <w:pPr>
              <w:spacing w:after="0"/>
              <w:rPr>
                <w:sz w:val="20"/>
                <w:szCs w:val="20"/>
                <w:color w:val="auto"/>
              </w:rPr>
            </w:pPr>
          </w:p>
        </w:tc>
        <w:tc>
          <w:tcPr>
            <w:tcW w:w="19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ind w:left="118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8"/>
              </w:rPr>
              <w:t>543,359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234,077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Pr>
          <w:p>
            <w:pPr>
              <w:spacing w:after="0"/>
              <w:rPr>
                <w:sz w:val="19"/>
                <w:szCs w:val="19"/>
                <w:color w:val="auto"/>
              </w:rPr>
            </w:pPr>
          </w:p>
        </w:tc>
        <w:tc>
          <w:tcPr>
            <w:tcW w:w="1440" w:type="dxa"/>
            <w:vAlign w:val="bottom"/>
          </w:tcPr>
          <w:p>
            <w:pPr>
              <w:ind w:left="780"/>
              <w:spacing w:after="0"/>
              <w:rPr>
                <w:sz w:val="20"/>
                <w:szCs w:val="20"/>
                <w:color w:val="auto"/>
              </w:rPr>
            </w:pPr>
            <w:r>
              <w:rPr>
                <w:rFonts w:ascii="Arial" w:cs="Arial" w:eastAsia="Arial" w:hAnsi="Arial"/>
                <w:sz w:val="18"/>
                <w:szCs w:val="18"/>
                <w:color w:val="auto"/>
                <w:w w:val="98"/>
              </w:rPr>
              <w:t>234,077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99,289</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not exercised Stock Options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8"/>
              </w:rPr>
              <w:t>185,908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199,764</w:t>
            </w:r>
          </w:p>
        </w:tc>
      </w:tr>
      <w:tr>
        <w:trPr>
          <w:trHeight w:val="228"/>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963,344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299,053</w:t>
            </w:r>
          </w:p>
        </w:tc>
        <w:tc>
          <w:tcPr>
            <w:tcW w:w="100" w:type="dxa"/>
            <w:vAlign w:val="bottom"/>
          </w:tcPr>
          <w:p>
            <w:pPr>
              <w:spacing w:after="0"/>
              <w:rPr>
                <w:sz w:val="19"/>
                <w:szCs w:val="19"/>
                <w:color w:val="auto"/>
              </w:rPr>
            </w:pPr>
          </w:p>
        </w:tc>
        <w:tc>
          <w:tcPr>
            <w:tcW w:w="1440" w:type="dxa"/>
            <w:vAlign w:val="bottom"/>
          </w:tcPr>
          <w:p>
            <w:pPr>
              <w:ind w:left="780"/>
              <w:spacing w:after="0"/>
              <w:rPr>
                <w:sz w:val="20"/>
                <w:szCs w:val="20"/>
                <w:color w:val="auto"/>
              </w:rPr>
            </w:pPr>
            <w:r>
              <w:rPr>
                <w:rFonts w:ascii="Arial" w:cs="Arial" w:eastAsia="Arial" w:hAnsi="Arial"/>
                <w:sz w:val="18"/>
                <w:szCs w:val="18"/>
                <w:b w:val="1"/>
                <w:bCs w:val="1"/>
                <w:color w:val="auto"/>
                <w:w w:val="98"/>
              </w:rPr>
              <w:t>963,344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299,053</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76"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the Company’s debt, net of deferred financing costs at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5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Fair value measurement at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144,865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144,865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144,865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Carrying value</w:t>
            </w:r>
          </w:p>
        </w:tc>
        <w:tc>
          <w:tcPr>
            <w:tcW w:w="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7"/>
          </w:tcPr>
          <w:p>
            <w:pPr>
              <w:jc w:val="center"/>
              <w:ind w:right="236"/>
              <w:spacing w:after="0"/>
              <w:rPr>
                <w:sz w:val="20"/>
                <w:szCs w:val="20"/>
                <w:color w:val="auto"/>
              </w:rPr>
            </w:pPr>
            <w:r>
              <w:rPr>
                <w:rFonts w:ascii="Arial" w:cs="Arial" w:eastAsia="Arial" w:hAnsi="Arial"/>
                <w:sz w:val="18"/>
                <w:szCs w:val="18"/>
                <w:b w:val="1"/>
                <w:bCs w:val="1"/>
                <w:color w:val="auto"/>
                <w:w w:val="90"/>
              </w:rPr>
              <w:t>Fair value measurement at December 31, 2021</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146,260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146,260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carrying amount of the Company’s debt approximates its fair value due to its variable interest rate that is tied to the current LIBOR plus an applicable spread. The Company’s accounting policy is to recognize transfers between levels of the fair value hierarchy on the date of the event or change in circumstances that caused the transfer. There were no transfers into or out of any level for the periods ended June 30, 2022 and December 31,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long-lived asset which is being measured at fair value on a recurring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June 30, 2022, the Company recognized income tax expense of $8.6 million and $16.9 million, respectively, as compared to income tax expense of $23.3 million and $27.7 million, respectively, during the three and six months ended June 30, 2021. The effective tax rate for the three and six months ended June 30, 2022 was 27.1% and 26.7%, respectively, as compared to 23.4% and 23.8%, respectively during the three and six months ended June 30, 2021. The Company’s income tax expense for the three and six months ended June 30, 2022 and June 30, 2021 differs from amounts computed by applying the U.S. federal statutory tax rate of 21% primarily due to state income tax expenses and the officer’s compensation limitation under Section 162m.</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2022, the Company has assessed whether it is more likely than not that its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June 30, 2022.</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the aggregate exposure for uncertain tax positions for all open tax years and concluded that the Company and its predecessor have no material uncertain tax positions as of June 30, 2022 or for any open tax years. When applicable, tax penalties and interest are recognized within general and administrative expenses in the condensed consolidated statements of operations. The Company has not recorded any penalties or interest related to uncertain tax positions as of June 30, 2022 or for any open tax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provides information that management believes is relevant to an assessment and understanding of Open Lending Corporation’s condensed consolidated results of operations and financial condition. The discussion should be read in conjunction with the condensed consolidated financial statements and notes thereto on Form 10-K for the year ended December 31, 2021. This discussion contains forward-looking statements and involves numerous risks and uncertainties, including, but not limited to, those described under the heading “Risk Factors” set forth elsewhere in this Quarterly Report on Form 10-Q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condensed consolidated subsidiaries.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our Lenders Protection Platform (“LPP”) by automotive lenders;</w:t>
      </w:r>
    </w:p>
    <w:p>
      <w:pPr>
        <w:spacing w:after="0" w:line="62"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expenses associated with our growth as a result of demands on our operational, marketing, compliance and accounting infrastructure;</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regulatory agreements between us and state agencies regarding issues including automotive lender conduct and oversight and loan pricing;</w:t>
      </w:r>
    </w:p>
    <w:p>
      <w:pPr>
        <w:spacing w:after="0" w:line="140"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 and</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ongoing COVID-19 pandemic on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and our Annual Report. We caution you that the foregoing list may not contain all of the forward-looking statements made in this Quarterly Report on Form 10-Q. You should not rely upon forward-looking statements as predictions of future events.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and Original Equipment Manufacturers. Our clients, collectively referred to herein as automotive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approximately $16.0 billion in automotive loans, accumulating over 20 years of proprietary data and developing over two million unique risk profiles.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specialize in risk-based pricing and modeling and provide automated decision-technology for automotive lenders throughout the U.S. We believe that we address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flagship product, LPP, enables automotive lenders to make loans that are largely insured against losses from defaults. We have been developing and advancing the proprietary underwriting models used by LPP for over 20 years. We believe LPP provides significant benefits to our growing ecosystem of automotive lenders, automobile dealers, borrowers and insurers.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our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market opportunity is significant. The near-prime and non-prime automotive loan origination market is estimated at $270 billion annually. We are currently serving less than 2% of this market, providing a significant growth opportunity. In addition, our market opportunity related to the refinancing of near-prime and non-prime automotive loans is estimated at $40 billion annually.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facilitated 44,531 and 88,475 certified loans during the three and six months ended June 30, 2022, respectively, as compared to 46,408 and 79,726 certified loans during the same periods in 2021,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was $52.0 million and $102.1 million for the three and six months ended June 30, 2022, respectively, as compared to $61.1 million and $105.1 million, respectively, during the same periods in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$32.8 million and $65.1 million for the three and six months ended June 30, 2022, respectively, as compared to $44.9 million and $74.3 million, respectively, in same periods in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was $23.1 million and $46.3 million for the three and six months ended June 30, 2022, respectively, as compared to net income of $76.0 million and $88.8 million, respectively, for the same periods in 2021.</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Adjusted EBITDA was $34.0 million and $67.8 million for the three and six months ended June 30, 2022, respectively, as compared to $46.1 million and $76.3 million, respectively, during the same periods in 2021. Information regarding use of Adjusted EBITDA, a non-GAAP measure, and a reconciliation of Adjusted EBITDA to net income, the most comparable GAAP measure, is included in </w:t>
      </w:r>
      <w:r>
        <w:rPr>
          <w:rFonts w:ascii="Arial" w:cs="Arial" w:eastAsia="Arial" w:hAnsi="Arial"/>
          <w:sz w:val="17"/>
          <w:szCs w:val="17"/>
          <w:i w:val="1"/>
          <w:iCs w:val="1"/>
          <w:color w:val="auto"/>
        </w:rPr>
        <w:t>“Non-GAAP Financial Measures.”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loans certified by lenders during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1,293,525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1,170,461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2,475,898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1,950,822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3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Historically, we have defined active lenders as certifying at least one loan during the preceding 12 months. As of June 30, 2022 and 2021, we had 414 and 380 active lenders, respectively. The table below represents lender count information for lenders with certified loan activity during the periods indicated.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25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Six Months Ended</w:t>
            </w:r>
          </w:p>
        </w:tc>
        <w:tc>
          <w:tcPr>
            <w:tcW w:w="440" w:type="dxa"/>
            <w:vAlign w:val="bottom"/>
          </w:tcPr>
          <w:p>
            <w:pPr>
              <w:spacing w:after="0"/>
              <w:rPr>
                <w:sz w:val="17"/>
                <w:szCs w:val="17"/>
                <w:color w:val="auto"/>
              </w:rPr>
            </w:pPr>
          </w:p>
        </w:tc>
      </w:tr>
      <w:tr>
        <w:trPr>
          <w:trHeight w:val="230"/>
        </w:trPr>
        <w:tc>
          <w:tcPr>
            <w:tcW w:w="5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Lenders certifying loans at the beginning of the period</w:t>
            </w: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New lenders (1)</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change in lenders (2)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Lenders certifying loans at the end of the period</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r>
    </w:tbl>
    <w:p>
      <w:pPr>
        <w:spacing w:after="0" w:line="200" w:lineRule="exact"/>
        <w:rPr>
          <w:sz w:val="20"/>
          <w:szCs w:val="20"/>
          <w:color w:val="auto"/>
        </w:rPr>
      </w:pPr>
    </w:p>
    <w:p>
      <w:pPr>
        <w:spacing w:after="0" w:line="33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lenders using LPP to certify loans for the first time during the period.</w:t>
      </w:r>
    </w:p>
    <w:p>
      <w:pPr>
        <w:spacing w:after="0" w:line="63" w:lineRule="exact"/>
        <w:rPr>
          <w:rFonts w:ascii="Arial" w:cs="Arial" w:eastAsia="Arial" w:hAnsi="Arial"/>
          <w:sz w:val="18"/>
          <w:szCs w:val="18"/>
          <w:color w:val="auto"/>
        </w:rPr>
      </w:pPr>
    </w:p>
    <w:p>
      <w:pPr>
        <w:ind w:right="20" w:firstLine="8"/>
        <w:spacing w:after="0" w:line="277" w:lineRule="auto"/>
        <w:tabs>
          <w:tab w:leader="none" w:pos="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change in the number of lenders previously onboarded and using LPP to certify loans during the period. Certain lenders experience periods of inactivity followed by periods of activity, causing the lender count to fluctuate from period to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such as ours, with recurring revenue streams.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Automotive Loans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to “certified loans” as the number of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“average program fee” as the total program fee revenue recognized for a period divided by the number of certified loans in that period.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Insurers’ Underwriting Profit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“insurers’ underwriting profit” as the total underwriting profit expected to be received by insurers over the expected life of the insured loans.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Insurers’ Earned Premium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“insurers’ earned premium” as the total insurance premium earned by insurers in a given period. Earned premiums were $70.9 million and $138.1 million, respectively, for the three and six months ended June 30, 2022 and $53.9 million and $100.6 million for the same periods in 2021,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Insurance Carrier Partner</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 2022, we signed a program management agreement with a fourth insurance carrier partner, Arch Specialty Insurance Company, a part of Arch Capital Group Ltd., who will act as an additional provider of credit default insurance policies for LPP, from which we can earn profit share revenue and claims administration fees.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Active Automotive Lenders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growth trend in active automotive lenders using LPP is a critical factor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and add new automotive lenders.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competition to acquire and maintain automotive lenders as customers, as well as competition to facilitate the funding of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7"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We rely on assumptions to calculate the value of profit share revenue, which is our share of insurance partners’ underwriting profit. For example, positive change in estimates associated with historical vintages generate an increase in our contract asset, additional revenues and future expected cash flows, while negative change in estimates generate a decrease in our contract asset, a reduction in revenues and future expected cash flows. To the extent these assumptions change, our profit share revenue will be adjusted. Please refer to “</w:t>
      </w:r>
      <w:hyperlink w:anchor="page27">
        <w:r>
          <w:rPr>
            <w:rFonts w:ascii="Arial" w:cs="Arial" w:eastAsia="Arial" w:hAnsi="Arial"/>
            <w:sz w:val="18"/>
            <w:szCs w:val="18"/>
            <w:u w:val="single" w:color="auto"/>
            <w:color w:val="0000FF"/>
          </w:rPr>
          <w:t>Critical Accounting Policies and Estimates</w:t>
        </w:r>
      </w:hyperlink>
      <w:r>
        <w:rPr>
          <w:rFonts w:ascii="Arial" w:cs="Arial" w:eastAsia="Arial" w:hAnsi="Arial"/>
          <w:sz w:val="18"/>
          <w:szCs w:val="18"/>
          <w:color w:val="auto"/>
        </w:rPr>
        <w:t>” for more information on these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results of operations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inflation, interest rate levels, changes in monetary and related policies, market volatility, supply chain disruptions, consumer confidence, the impact of the pandemic and, particularly, the unemployment rate also influence consumer spending and borrowing patterns.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three largest insurance carrier partners accounted for 38%, 11% and 11% of our total revenue during the three months ended June 30, 2022, and 38%, 13% and 10% during the six months ended June 30, 2022. Our two largest insurance carriers accounted for 43% and 24% of the Company’s total revenue during the three months ended June 30, 2021, and accounted for 43% and 23% for the six months ended June 30, 2021. Termination or disruption of these relationships could materially and adversely impact our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generated through three streams: (i) profit share paid to us by insurance partners, (ii) program fees paid to us by lenders and (iii) claims administration service fees paid to us by insurance partners.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Program fees</w:t>
      </w:r>
      <w:r>
        <w:rPr>
          <w:rFonts w:ascii="Arial" w:cs="Arial" w:eastAsia="Arial" w:hAnsi="Arial"/>
          <w:sz w:val="16"/>
          <w:szCs w:val="16"/>
          <w:color w:val="auto"/>
        </w:rPr>
        <w:t>. Program fees are paid by automotive lenders for the use of LPP, which provides loan analytics solutions and automated issuance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insurance with third-party insurance providers. These fees are based on a percentage of each certified loan’s original principal balance and are recognized as revenue upfront upon receipt of the loan by the consumer. The fee percentage rate varies by type of loan. For loans with a one-time upfront payment, there is a sliding scale of rates representing volume discounts to the lender with fees generally capped at $600 per loan. This cap may vary for certain large volume lenders. For monthly pay loans, the fee paid by the lender is a flat 3% of the total amount of the loan and is not capped.</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insurers for credit default insurance claims adjudication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performed by our subsidiary Insurance Administrative Services, LLC on its insured servicing portfolio. The administration fee is equal to 3% of the monthly insurance earned premium for as long as the loan remains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 party partners for lead-generation efforts, compensation and benefits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employees engaged in lenders’ services and claims administration activities, fees paid for actuarial services related to the development of the monthly premium program, fees for integration with loan origination systems of automotive lenders and fees paid to credit bureaus and data service providers for credit applicant data. In the near to intermediate term, we generally expect cost of services to increase as a percentage of our program fee revenue as we continue to expand our third-party partner relationships.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are comprised primarily of expenses relating to employee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non-cash share-based compensation, travel, meals and entertainment expenses, data and software expenses and professional and consulting fees. In the near to intermediate term, we expect general and administrative expenses to remain relatively constant.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activities. We generally expect selling and marketing expenses to increase as a percentage of our program fee revenue in the near to immediate term as we continue to expand our sales and marketing team.</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employee compensation and benefits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engaged in ongoing research and development of our software technology platform. We generally expect our research and development costs to increase in absolute dollars as our business continues to grow.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primarily reflects unamortized deferred financing costs, which were written off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refinancing of our Term Loan due 2027 on March 19,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7"/>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380" w:type="dxa"/>
            <w:vAlign w:val="bottom"/>
            <w:gridSpan w:val="6"/>
          </w:tcPr>
          <w:p>
            <w:pPr>
              <w:ind w:left="700"/>
              <w:spacing w:after="0"/>
              <w:rPr>
                <w:sz w:val="20"/>
                <w:szCs w:val="20"/>
                <w:color w:val="auto"/>
              </w:rPr>
            </w:pPr>
            <w:r>
              <w:rPr>
                <w:rFonts w:ascii="Arial" w:cs="Arial" w:eastAsia="Arial" w:hAnsi="Arial"/>
                <w:sz w:val="14"/>
                <w:szCs w:val="14"/>
                <w:b w:val="1"/>
                <w:bCs w:val="1"/>
                <w:color w:val="auto"/>
                <w:w w:val="91"/>
              </w:rPr>
              <w:t>Six Months Ended June 30,</w:t>
            </w:r>
          </w:p>
        </w:tc>
        <w:tc>
          <w:tcPr>
            <w:tcW w:w="960" w:type="dxa"/>
            <w:vAlign w:val="bottom"/>
          </w:tcPr>
          <w:p>
            <w:pPr>
              <w:spacing w:after="0"/>
              <w:rPr>
                <w:sz w:val="16"/>
                <w:szCs w:val="16"/>
                <w:color w:val="auto"/>
              </w:rPr>
            </w:pPr>
          </w:p>
        </w:tc>
      </w:tr>
      <w:tr>
        <w:trPr>
          <w:trHeight w:val="26"/>
        </w:trPr>
        <w:tc>
          <w:tcPr>
            <w:tcW w:w="3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91"/>
              <w:spacing w:after="0"/>
              <w:rPr>
                <w:sz w:val="20"/>
                <w:szCs w:val="20"/>
                <w:color w:val="auto"/>
              </w:rPr>
            </w:pPr>
            <w:r>
              <w:rPr>
                <w:rFonts w:ascii="Arial" w:cs="Arial" w:eastAsia="Arial" w:hAnsi="Arial"/>
                <w:sz w:val="14"/>
                <w:szCs w:val="14"/>
                <w:b w:val="1"/>
                <w:bCs w:val="1"/>
                <w:color w:val="auto"/>
                <w:w w:val="97"/>
              </w:rPr>
              <w:t>% Change</w:t>
            </w:r>
          </w:p>
        </w:tc>
      </w:tr>
      <w:tr>
        <w:trPr>
          <w:trHeight w:val="26"/>
        </w:trPr>
        <w:tc>
          <w:tcPr>
            <w:tcW w:w="3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tcPr>
          <w:p>
            <w:pPr>
              <w:ind w:left="8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40"/>
              <w:spacing w:after="0"/>
              <w:rPr>
                <w:sz w:val="20"/>
                <w:szCs w:val="20"/>
                <w:color w:val="auto"/>
              </w:rPr>
            </w:pPr>
            <w:r>
              <w:rPr>
                <w:rFonts w:ascii="Arial" w:cs="Arial" w:eastAsia="Arial" w:hAnsi="Arial"/>
                <w:sz w:val="18"/>
                <w:szCs w:val="18"/>
                <w:color w:val="auto"/>
              </w:rPr>
              <w:t>Profit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29,157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38,842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Program fees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3920" w:type="dxa"/>
            <w:vAlign w:val="bottom"/>
          </w:tcPr>
          <w:p>
            <w:pPr>
              <w:ind w:left="240"/>
              <w:spacing w:after="0"/>
              <w:rPr>
                <w:sz w:val="20"/>
                <w:szCs w:val="20"/>
                <w:color w:val="auto"/>
              </w:rPr>
            </w:pPr>
            <w:r>
              <w:rPr>
                <w:rFonts w:ascii="Arial" w:cs="Arial" w:eastAsia="Arial" w:hAnsi="Arial"/>
                <w:sz w:val="18"/>
                <w:szCs w:val="18"/>
                <w:color w:val="auto"/>
              </w:rPr>
              <w:t>Claims administration and other service fees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56,985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2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63"/>
        </w:trPr>
        <w:tc>
          <w:tcPr>
            <w:tcW w:w="3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14,150</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12,108</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17 %</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27,188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9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3920" w:type="dxa"/>
            <w:vAlign w:val="bottom"/>
          </w:tcPr>
          <w:p>
            <w:pPr>
              <w:ind w:left="240"/>
              <w:spacing w:after="0"/>
              <w:rPr>
                <w:sz w:val="20"/>
                <w:szCs w:val="20"/>
                <w:color w:val="auto"/>
              </w:rPr>
            </w:pPr>
            <w:r>
              <w:rPr>
                <w:rFonts w:ascii="Arial" w:cs="Arial" w:eastAsia="Arial" w:hAnsi="Arial"/>
                <w:sz w:val="18"/>
                <w:szCs w:val="18"/>
                <w:color w:val="auto"/>
              </w:rPr>
              <w:t>Gain on extinguishment of tax receivable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agreement</w:t>
            </w: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55,422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9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23,267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23,126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75,966</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46,280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88,828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Pr>
          <w:p>
            <w:pPr>
              <w:spacing w:after="0"/>
              <w:rPr>
                <w:sz w:val="16"/>
                <w:szCs w:val="16"/>
                <w:color w:val="auto"/>
              </w:rPr>
            </w:pPr>
          </w:p>
        </w:tc>
      </w:tr>
      <w:tr>
        <w:trPr>
          <w:trHeight w:val="25"/>
        </w:trPr>
        <w:tc>
          <w:tcPr>
            <w:tcW w:w="3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400" w:type="dxa"/>
            <w:vAlign w:val="bottom"/>
          </w:tcPr>
          <w:p>
            <w:pPr>
              <w:jc w:val="right"/>
              <w:ind w:right="832"/>
              <w:spacing w:after="0"/>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200" w:type="dxa"/>
            <w:vAlign w:val="bottom"/>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 Change</w:t>
            </w:r>
          </w:p>
        </w:tc>
      </w:tr>
      <w:tr>
        <w:trPr>
          <w:trHeight w:val="25"/>
        </w:trPr>
        <w:tc>
          <w:tcPr>
            <w:tcW w:w="3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3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44,531</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46,408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88,475</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79,726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39,526</w:t>
            </w:r>
          </w:p>
        </w:tc>
        <w:tc>
          <w:tcPr>
            <w:tcW w:w="380" w:type="dxa"/>
            <w:vAlign w:val="bottom"/>
          </w:tcPr>
          <w:p>
            <w:pPr>
              <w:spacing w:after="0"/>
              <w:rPr>
                <w:sz w:val="21"/>
                <w:szCs w:val="21"/>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41,156</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79,087</w:t>
            </w:r>
          </w:p>
        </w:tc>
        <w:tc>
          <w:tcPr>
            <w:tcW w:w="340" w:type="dxa"/>
            <w:vAlign w:val="bottom"/>
          </w:tcPr>
          <w:p>
            <w:pPr>
              <w:spacing w:after="0"/>
              <w:rPr>
                <w:sz w:val="21"/>
                <w:szCs w:val="21"/>
                <w:color w:val="auto"/>
              </w:rPr>
            </w:pPr>
          </w:p>
        </w:tc>
        <w:tc>
          <w:tcPr>
            <w:tcW w:w="1200" w:type="dxa"/>
            <w:vAlign w:val="bottom"/>
          </w:tcPr>
          <w:p>
            <w:pPr>
              <w:jc w:val="right"/>
              <w:ind w:right="353"/>
              <w:spacing w:after="0"/>
              <w:rPr>
                <w:sz w:val="20"/>
                <w:szCs w:val="20"/>
                <w:color w:val="auto"/>
              </w:rPr>
            </w:pPr>
            <w:r>
              <w:rPr>
                <w:rFonts w:ascii="Arial" w:cs="Arial" w:eastAsia="Arial" w:hAnsi="Arial"/>
                <w:sz w:val="18"/>
                <w:szCs w:val="18"/>
                <w:color w:val="auto"/>
              </w:rPr>
              <w:t>70,098</w:t>
            </w: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5,005</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5,252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9,388</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9,628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466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444</w:t>
            </w:r>
          </w:p>
        </w:tc>
        <w:tc>
          <w:tcPr>
            <w:tcW w:w="10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457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3"/>
              <w:spacing w:after="0"/>
              <w:rPr>
                <w:sz w:val="20"/>
                <w:szCs w:val="20"/>
                <w:color w:val="auto"/>
              </w:rPr>
            </w:pPr>
            <w:r>
              <w:rPr>
                <w:rFonts w:ascii="Arial" w:cs="Arial" w:eastAsia="Arial" w:hAnsi="Arial"/>
                <w:sz w:val="18"/>
                <w:szCs w:val="18"/>
                <w:color w:val="auto"/>
              </w:rPr>
              <w:t>445</w:t>
            </w:r>
          </w:p>
        </w:tc>
        <w:tc>
          <w:tcPr>
            <w:tcW w:w="9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415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416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768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673</w:t>
            </w:r>
          </w:p>
        </w:tc>
        <w:tc>
          <w:tcPr>
            <w:tcW w:w="108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743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3"/>
              <w:spacing w:after="0"/>
              <w:rPr>
                <w:sz w:val="20"/>
                <w:szCs w:val="20"/>
                <w:color w:val="auto"/>
              </w:rPr>
            </w:pPr>
            <w:r>
              <w:rPr>
                <w:rFonts w:ascii="Arial" w:cs="Arial" w:eastAsia="Arial" w:hAnsi="Arial"/>
                <w:sz w:val="18"/>
                <w:szCs w:val="18"/>
                <w:color w:val="auto"/>
              </w:rPr>
              <w:t>660</w:t>
            </w: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931"/>
        </w:trPr>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632"/>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w w:val="89"/>
              </w:rPr>
              <w:t>Comparison of Three and Six Months Ended June 30, 2022 and 2021</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524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500" w:type="dxa"/>
            <w:vAlign w:val="bottom"/>
            <w:gridSpan w:val="4"/>
          </w:tcPr>
          <w:p>
            <w:pPr>
              <w:jc w:val="right"/>
              <w:ind w:right="671"/>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30"/>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26,333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52,002</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49,673</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16,899</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29,157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38,842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57,467</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66,572</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Program fees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20,731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40,457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35,508</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4,188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3,053</w:t>
            </w: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52,044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102,112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105,133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decreased by $9.1 million, or 15%, during the three months ended June 30, 2022, as compared to the same period last year, driven primarily by a $9.0 million decrease in estimated future revenue on loans originated in historic vintages associated with changes in expected portfolio performance between periods.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 decreased by $3.0 million, or 3%, during the six months ended June 30, 2022, as compared to the same period in 2021, driven primarily by the $11.4 million decrease in estimated future revenue on loans originated in historic vintages associated with changes in expected portfolio performance between periods and offset by the $2.3 million increase in anticipated profit share associated with new certified loan originations, as well as a $4.9 million increase in program fees and a $1.1 million increase in claims administration service fees as compared to the same period in 2021.</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Profit share revenue decreased by $9.7 million and $9.1 million, or 25% and 14%, during the three and six months ended June 30, 2022, respectively, as compared to the same periods in 2021. During the three months ended June 30, 2022, we recorded $26.3 million in anticipated profit share associated with 44,531 certified loans for an average of $591 per loan as compared to $27.0 million in anticipated profit share associated with 46,408 certified loans for an average of $582 per loan during the three months ended June 30, 2021. During the six months ended June 30, 2022, we recorded $52.0 million in anticipated profit share associated with 88,475 certified loans for an average of $588 per loan as compared to $49.7 million in anticipated profit share associated with 79,726 certified loans for an average of $623 per loan during the six months ended June 30, 2021.</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during the three and six months ended June 30, 2022, we recorded $2.8 million and $5.5 million, respectively, in estimated future revenue on business in historic vintages as a result of lower than anticipated claims and severity of losses, as compared to $11.8 million and $16.9 million in estimated future revenue on business in historic vintages during the three and six months ended June 30, 2021, respectively.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 fees revenue increased by $0.1 million and $4.9 million or 1% and 14%, for the three and six months ended June 30, 2022, respectively, as compared to the same periods in 2021. The increase in program fee revenue for the three months ended June 30, 2022 was driven by higher unit economics per certified loan, offset by a 4% decrease in certified loan volume, as compared to the prior year period. The increase in program fee revenue for the six months ended June 30, 2022 was driven by an 11% increase in certified loan volumes and by higher unit economics per certified loan, as compared to the prior year period.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annual earned premium, increased by $0.5 million and $1.1 million, or 28% and 37% for the three and six months ended June 30, 2022, as compared to the same periods in the prior year, due to 32% and 37% increases in total earned premiums.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7"/>
        </w:trPr>
        <w:tc>
          <w:tcPr>
            <w:tcW w:w="5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34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30"/>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2022</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191"/>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thousands)</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52,044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61,125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102,112</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105,133</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5,085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4,140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9,873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7,502</w:t>
            </w:r>
          </w:p>
        </w:tc>
      </w:tr>
      <w:tr>
        <w:trPr>
          <w:trHeight w:val="27"/>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46,959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56,985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92,239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97,631</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93 %</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services increased by $1.0 million, or 23%, and $2.3 million, or 32%, during the three and six months ended June 30, 2022, respectively, as compared to the same periods in the prior year, primarily due to increases in employee compensation costs associated with the growth of our implementation and claims administration organizations, increases in fees paid to third party partners for lead-generation efforts, increases in actuarial fees, and increases in credit applicant data fees.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by $10.0 million, or 18%, during the three months ended June 30, 2022, as compared to the same period in 2021, driven primarily by a decrease in anticipated profit share on historic business as discussed above. Gross profit decreased by $5.4 million, or 6%, during the six months ended June 30, 2022, as compared to the same period in 2021, driven primarily by a decrease in anticipated profit share on historic business as discussed above, partially offset by increases in program fees and claims administration service fees.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w w:val="95"/>
              </w:rPr>
              <w:t>Operating Expenses, Operating Income and Operating Margin</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7"/>
        </w:trPr>
        <w:tc>
          <w:tcPr>
            <w:tcW w:w="4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2680" w:type="dxa"/>
            <w:vAlign w:val="bottom"/>
            <w:gridSpan w:val="4"/>
          </w:tcPr>
          <w:p>
            <w:pPr>
              <w:jc w:val="right"/>
              <w:ind w:right="791"/>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4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r>
      <w:tr>
        <w:trPr>
          <w:trHeight w:val="230"/>
        </w:trPr>
        <w:tc>
          <w:tcPr>
            <w:tcW w:w="4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r>
      <w:tr>
        <w:trPr>
          <w:trHeight w:val="191"/>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 in thousands)</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52,044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61,125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102,112</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105,133</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46,959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56,985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92,239</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97,631</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7,968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15,450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16,593</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7,727</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5,351</w:t>
            </w:r>
          </w:p>
        </w:tc>
      </w:tr>
      <w:tr>
        <w:trPr>
          <w:trHeight w:val="243"/>
        </w:trPr>
        <w:tc>
          <w:tcPr>
            <w:tcW w:w="4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2,188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4,011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1,364</w:t>
            </w: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14,150</w:t>
            </w:r>
          </w:p>
        </w:tc>
        <w:tc>
          <w:tcPr>
            <w:tcW w:w="1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12,108</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27,188</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23,308</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32,809</w:t>
            </w:r>
          </w:p>
        </w:tc>
        <w:tc>
          <w:tcPr>
            <w:tcW w:w="1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44,877</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65,051</w:t>
            </w:r>
          </w:p>
        </w:tc>
        <w:tc>
          <w:tcPr>
            <w:tcW w:w="1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74,323</w:t>
            </w: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64 %</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71 %</w:t>
            </w:r>
          </w:p>
        </w:tc>
      </w:tr>
      <w:tr>
        <w:trPr>
          <w:trHeight w:val="27"/>
        </w:trPr>
        <w:tc>
          <w:tcPr>
            <w:tcW w:w="4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decreased by $0.4 million, or 5%, during the three months ended June 30, 2022 as compared to the same period last year, driven primarily by decreases in performance-based employee compensation expenses. General and administrative expenses decreased by $1.1 million, or 7%, during the six months ended June 30, 2022, as compared to the same period last year, driven primarily by $1.3 million of decreases in professional fees as we reduce our reliance on outside consultants in conducting financial reporting and compliance functions, and partially offset by $0.4 million in increased travel expenses associated with the lifting of related restrictions.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Selling and marketing expenses increased by $1.0 million, or 35%, during the three months ended June 30, 2022, as compared to the same period last year, driven primarily by increases in travel and business development associated with increased levels of activity as a result of the lifting of related restrictions. Selling and marketing expenses increased by $2.4 million, or 44%, during the six months ended June 30, 2022, as compared to the prior year period, primarily due to an increase in employee compensation and recruiting costs associated with the growth of our sales and marketing organization, as well as increases in expenses related to travel and business development associated with increased levels of activity as a result of the lifting of related restrictions.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$1.4 million, or 183%, and $2.6 million, or 194%, during the three and six months ended June 30, 2022, respectively, as compared to the same periods in the prior year, primarily due to increases in employee compensation costs associated with the growth of our research and development organization to support continued enhancements to our flagship product.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decreased by $12.1 million, or 27%, for the three months ended June 30, 2022, as compared to the prior year period, primarily driven by decreased estimated profit share on historic business, as well as increases in cost of services, and operating expenses related to selling and marketing and research and development as discussed above.</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decreased by $9.3 million, or 12%, for the six months ended June 30, 2022, as compared to the prior year period, primarily driven by a decrease in estimated profit share on historic business as well as increases in cost of services and operating expenses, offset by increases in anticipated profit share associated with new certified loan originations as well as increases in program fees and claims administration service fees.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and six months ended June 30, 2022, interest expense was $1.1 million and $1.9 million, respectively, as compared to $1.1 million and $4.4 million during the three and six months ended June 30, 2021, respectively. Interest expense decreased $2.5 million or 56% for the six months ended June 30, 2022, as compared to the six months ended June 30, 2021, as a result of lower borrowing costs and lower outstanding debt balances during 2022.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and six months ended June 30, 2022, we recognized income tax expense of $8.6 million and $16.9 million, respectively, as compared to $23.3 million and $27.7 million for the same periods in 2021. The effective tax rate for the three and six months ended June 30, 2022 was 27.1% and 26.7%, respectively, as compared to an effective tax rate of 23.4% and 23.8%, respectively, for the same periods in 2021. Income tax expense decreased $14.7 million, or 63% and $10.8 million, or 39% during the three and six ended June 30, 2022, respectively, as compared to the same periods in 2021, primarily as a result of the 68% and 46% decrease in income before income taxes offset by an increase in the effective tax 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“Critical Accounting Policies and Estimates” in this Quarterly Report on Form 10-Q and our Annual Report for a full description of the related estimates, assumptions, and judgments.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8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7"/>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13"/>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center"/>
              <w:ind w:left="613"/>
              <w:spacing w:after="0"/>
              <w:rPr>
                <w:sz w:val="20"/>
                <w:szCs w:val="20"/>
                <w:color w:val="auto"/>
              </w:rPr>
            </w:pPr>
            <w:r>
              <w:rPr>
                <w:rFonts w:ascii="Arial" w:cs="Arial" w:eastAsia="Arial" w:hAnsi="Arial"/>
                <w:sz w:val="14"/>
                <w:szCs w:val="14"/>
                <w:i w:val="1"/>
                <w:iCs w:val="1"/>
                <w:color w:val="auto"/>
                <w:w w:val="92"/>
              </w:rPr>
              <w:t>(in thousands)</w:t>
            </w:r>
          </w:p>
        </w:tc>
        <w:tc>
          <w:tcPr>
            <w:tcW w:w="98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53,587</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(76,245)</w:t>
            </w:r>
          </w:p>
        </w:tc>
      </w:tr>
      <w:tr>
        <w:trPr>
          <w:trHeight w:val="27"/>
        </w:trPr>
        <w:tc>
          <w:tcPr>
            <w:tcW w:w="8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cash flows provided by operating activities reflect net income adjusted for certain non-cash items and changes in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statement of 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7"/>
        </w:trPr>
        <w:tc>
          <w:tcPr>
            <w:tcW w:w="8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7"/>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9"/>
        </w:trPr>
        <w:tc>
          <w:tcPr>
            <w:tcW w:w="8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5"/>
                <w:szCs w:val="15"/>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46,280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88,828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income taxes and other non-cash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19,336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losses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Change in contract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(22,591)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53,587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32,983</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operating activities for the six months ended June 30, 2022 is primarily attributable to operating income increased by the net change in contract assets, other assets and liabilities and reduced by income taxes paid. The increase in net cash provided by operating activities of $20.6 million for the six months ended June 30, 2022, as compared to the six months ended June 30, 2021, was primarily attributable to higher profit share payments from insurance carriers and increased cash inflows from program fees related to higher certified loan volume.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2022 and 2021, net cash used in investing activities was $0.4 million and $0.8 million, respectively. For the six months ended June 30, 2022 and 2021, the investments primarily related to computer software developed for internal use.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cash flows used in and provided by financing activities primarily consist of payments of debt, deferred financing costs and proceeds from debt.</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2022, net cash used in financing activities was $1.6 million and is related to principal payments of our Term Loan due 2026.</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six months ended June 30, 2021, net cash used in financing activities was $76.2 million. The cash used primarily consisted of $36.9 million in early termination and settlement of the tax receivable agreement, $20.0 million related to our repurchase of 612,745 shares of our common stock held in treasury stock and debt principal payments of $167.6 million, primarily related to the payment in full of the Term Loan due 2027. In addition, we paid down our Revolving Facility by $25.0 million. The cash inflow includes $175.0 million in proceeds associated with our New Credit Agreement entered into March 19, 2021 which refinanced our existing debt, less $1.7 million in deferred financing costs associated with this facility.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2022, we had outstanding amounts of $121.1 million related to the Term Loan due 2026 and $25.0 million related to the Revolving Facility under the New Credit Agreement that we entered into on March 19, 2021, proceeds from which were used primarily to pay the Term Loan due 2027 in full and provide cash for general corporate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resources. Accordingly, we believe these measures provide useful information to investors and others in understanding and evaluating our operating results in the same manner as our management and Board of Directors. In addition, these measures provide useful measures for period-to-period comparisons of our business, as they remove the effect of certain non-cash items and certain variable charges. Adjusted EBITDA is defined as GAAP net income excluding interest expense, income taxes, depreciation and amortization expense, share-based compensation expense, gain on extinguishment of tax receivable agreement and loss on extinguishment of debt. Adjusted EBITDA margin is defined as Adjusted EBITDA expressed as a percentage of total revenue.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7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0"/>
                <w:szCs w:val="20"/>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7"/>
        </w:trPr>
        <w:tc>
          <w:tcPr>
            <w:tcW w:w="4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23,126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75,966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46,280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88,828</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4,411</w:t>
            </w:r>
          </w:p>
        </w:tc>
      </w:tr>
      <w:tr>
        <w:trPr>
          <w:trHeight w:val="270"/>
        </w:trPr>
        <w:tc>
          <w:tcPr>
            <w:tcW w:w="4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23,267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16,891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27,737</w:t>
            </w: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389</w:t>
            </w: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1,628</w:t>
            </w:r>
          </w:p>
        </w:tc>
      </w:tr>
      <w:tr>
        <w:trPr>
          <w:trHeight w:val="27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extinguishment of tax receivable agreement</w:t>
            </w:r>
          </w:p>
        </w:tc>
        <w:tc>
          <w:tcPr>
            <w:tcW w:w="3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(55,422)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(55,422)</w:t>
            </w:r>
          </w:p>
        </w:tc>
      </w:tr>
      <w:tr>
        <w:trPr>
          <w:trHeight w:val="270"/>
        </w:trPr>
        <w:tc>
          <w:tcPr>
            <w:tcW w:w="48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3"/>
                <w:szCs w:val="2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8,778</w:t>
            </w: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10,919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(29,910)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21,534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(12,479)</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34,045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46,056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67,814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76,349</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52,044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61,125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102,112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105,133</w:t>
            </w:r>
          </w:p>
        </w:tc>
      </w:tr>
      <w:tr>
        <w:trPr>
          <w:trHeight w:val="234"/>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73 %</w:t>
            </w:r>
          </w:p>
        </w:tc>
      </w:tr>
    </w:tbl>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2022, Adjusted EBITDA decreased by $12.0 million, or 26% and $8.5 million, or 11%, respectively, as compared to the same periods in 2021. The decrease in Adjusted EBITDA during the three and six months ended June 30, 2022 reflects the decrease in operating income primarily driven by the decrease in estimated future revenues on historical vintages.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not been any material changes during the three and six months ended June 30, 2022 to the methodology applied by management for critical accounting policies previously disclosed in our Annual Report. Please refer to “Part II, Item 7. Management’s Discussion and Analysis of Financial Condition and Results of Operations—Critical Accounting Policies and Estimates” in our Annual Report for further description of our critical accounting policies and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no material changes in our contractual commitments and obligations during the three and six months ended June 30, 2022 from the amounts listed under “Part II, Item 7. Management’s Discussion and Analysis of Financial Condition and Results of Operations—Contractual Obligations” in our Annual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Consumer spending and borrowing patterns related to auto purchases are influenced by economic factors such as unemployment rates, inflation, interest rate levels, changes in monetary and related policies, market volatility, and overall consumer confidence.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 Termination or disruption of these relationships could materially and adversely impact our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2022, we had outstanding amounts of $121.1 million under the Term Loan due 2026 and $25.0 million under the Revolving Facility, both of which are scheduled to mature on March 19, 2026. Borrowings under the New Credit Facility bear interest at a rate equal to either the ABR or LIBOR plus a spread that is based upon our total net leverage ratio. The spread ranges from 1.75% to 2.50% for LIBOR loans and 0.75% to 1.50% for ABR loans. We are also charged an unused commitment fee that ranges from 0.200% to 0.275% per annum on the average daily unused portion of the Revolving Facility, which is paid quarterly in arrears and is based on our total net leverage ratio.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on Form 10-Q,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section supplements and updates certain of the information found under Part I, Item 1A. “Risk Factors” of our Annual Report, based on information currently known to us and recent developments since the date of the Annual Report filing. The matters discussed below should be read in conjunction with the risks described in Part I, Item 1A. “Risk Factors” of our Annual Report. However, the risks and uncertainties that we face are not limited to those described below and those set forth in the Annual Report. Additional risks and uncertainties not presently known to us or that we currently believe to be immaterial may also adversely affect our business, financial condition or future results.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economic impacts of Russia’s invasion of Ukraine could adversely affect our business, financial condition or operating results.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Russia’s invasion of Ukraine and the resulting economic sanctions imposed by the international community have impacted the global economy, particularly with respect to shortages in materials and increased costs for transportation and energy. These events have disrupted and may continue to disrupt the supply chains of Original Equipment Manufacturers and their captive finance companies, which may lead to fewer vehicles being produced, fewer automotive loans overall and diminished demand for LPP. The invasion of Ukraine by Russia also could lead to other supply chain disruptions, increased inflationary pressures, and volatility in global markets and industries that could negatively impact our operations. Furthermore, the potential for retaliatory acts of cyberwarfare from Russia against U.S. companies in response to increasing sanctions on Russia could result in increased cyber-attacks against us. The impact of any one or more of these or other factors could adversely affect our business, financial condition or operating results, and the effects of the ongoing conflict in Ukraine could heighten many of our known risks described in Part I, Item 1A, “Risk Factors” in our Annual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our repurchases of shares of common stock during the three months ended June 30, 2022.</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 number of shares</w:t>
            </w:r>
          </w:p>
        </w:tc>
        <w:tc>
          <w:tcPr>
            <w:tcW w:w="160" w:type="dxa"/>
            <w:vAlign w:val="bottom"/>
          </w:tcPr>
          <w:p>
            <w:pPr>
              <w:spacing w:after="0"/>
              <w:rPr>
                <w:sz w:val="15"/>
                <w:szCs w:val="15"/>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Average price paid per</w:t>
            </w: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shares that may yet be</w:t>
            </w:r>
          </w:p>
        </w:tc>
        <w:tc>
          <w:tcPr>
            <w:tcW w:w="0" w:type="dxa"/>
            <w:vAlign w:val="bottom"/>
          </w:tcPr>
          <w:p>
            <w:pPr>
              <w:spacing w:after="0"/>
              <w:rPr>
                <w:sz w:val="1"/>
                <w:szCs w:val="1"/>
                <w:color w:val="auto"/>
              </w:rPr>
            </w:pPr>
          </w:p>
        </w:tc>
      </w:tr>
      <w:tr>
        <w:trPr>
          <w:trHeight w:val="176"/>
        </w:trPr>
        <w:tc>
          <w:tcPr>
            <w:tcW w:w="212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2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under the plans</w:t>
            </w: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purchased (1)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2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4/1/2022-4/30/2022</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5/1/2022-5/31/2022</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228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16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6/1/2022-6/30/2022</w:t>
            </w:r>
          </w:p>
        </w:tc>
        <w:tc>
          <w:tcPr>
            <w:tcW w:w="1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w:t>
            </w:r>
          </w:p>
        </w:tc>
        <w:tc>
          <w:tcPr>
            <w:tcW w:w="10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shares purchased from employees to satisfy tax withholding obligations related to share-based awards that vested during the period.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60" w:type="dxa"/>
            <w:vAlign w:val="bottom"/>
            <w:gridSpan w:val="6"/>
          </w:tcPr>
          <w:p>
            <w:pPr>
              <w:ind w:left="408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36"/>
        </w:trPr>
        <w:tc>
          <w:tcPr>
            <w:tcW w:w="1340" w:type="dxa"/>
            <w:vAlign w:val="bottom"/>
          </w:tcPr>
          <w:p>
            <w:pPr>
              <w:jc w:val="center"/>
              <w:spacing w:after="0"/>
              <w:rPr>
                <w:sz w:val="20"/>
                <w:szCs w:val="20"/>
                <w:color w:val="auto"/>
              </w:rPr>
            </w:pPr>
            <w:r>
              <w:rPr>
                <w:rFonts w:ascii="Arial" w:cs="Arial" w:eastAsia="Arial" w:hAnsi="Arial"/>
                <w:sz w:val="18"/>
                <w:szCs w:val="18"/>
                <w:color w:val="auto"/>
                <w:w w:val="90"/>
              </w:rPr>
              <w:t>10.1Ø ØØ</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Program Management Agreement dated May 2, 2022 by and between Arch Specialty Insurance Company and Lenders Protection,</w:t>
              </w:r>
            </w:hyperlink>
          </w:p>
        </w:tc>
        <w:tc>
          <w:tcPr>
            <w:tcW w:w="260" w:type="dxa"/>
            <w:vAlign w:val="bottom"/>
          </w:tcPr>
          <w:p>
            <w:pPr>
              <w:spacing w:after="0"/>
              <w:rPr>
                <w:sz w:val="20"/>
                <w:szCs w:val="20"/>
                <w:color w:val="auto"/>
              </w:rPr>
            </w:pPr>
          </w:p>
        </w:tc>
      </w:tr>
      <w:tr>
        <w:trPr>
          <w:trHeight w:val="196"/>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rFonts w:ascii="Arial" w:cs="Arial" w:eastAsia="Arial" w:hAnsi="Arial"/>
                <w:sz w:val="18"/>
                <w:szCs w:val="18"/>
                <w:color w:val="0000FF"/>
                <w:w w:val="94"/>
              </w:rPr>
            </w:pPr>
            <w:hyperlink w:anchor="page34">
              <w:r>
                <w:rPr>
                  <w:rFonts w:ascii="Arial" w:cs="Arial" w:eastAsia="Arial" w:hAnsi="Arial"/>
                  <w:sz w:val="18"/>
                  <w:szCs w:val="18"/>
                  <w:color w:val="0000FF"/>
                  <w:w w:val="94"/>
                </w:rPr>
                <w:t>LLC.</w:t>
              </w:r>
            </w:hyperlink>
          </w:p>
        </w:tc>
        <w:tc>
          <w:tcPr>
            <w:tcW w:w="9260" w:type="dxa"/>
            <w:vAlign w:val="bottom"/>
            <w:gridSpan w:val="6"/>
          </w:tcPr>
          <w:p>
            <w:pPr>
              <w:spacing w:after="0"/>
              <w:rPr>
                <w:sz w:val="17"/>
                <w:szCs w:val="17"/>
                <w:color w:val="auto"/>
              </w:rPr>
            </w:pPr>
          </w:p>
        </w:tc>
      </w:tr>
      <w:tr>
        <w:trPr>
          <w:trHeight w:val="30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the Chief Executive Officer pursuant to Section 302 of the Sarbanes-Oxley Act of 2002.</w:t>
              </w:r>
            </w:hyperlink>
          </w:p>
        </w:tc>
      </w:tr>
      <w:tr>
        <w:trPr>
          <w:trHeight w:val="30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160" w:type="dxa"/>
            <w:vAlign w:val="bottom"/>
            <w:gridSpan w:val="4"/>
          </w:tcPr>
          <w:p>
            <w:pPr>
              <w:spacing w:after="0"/>
              <w:rPr>
                <w:sz w:val="24"/>
                <w:szCs w:val="24"/>
                <w:color w:val="auto"/>
              </w:rPr>
            </w:pPr>
          </w:p>
        </w:tc>
      </w:tr>
      <w:tr>
        <w:trPr>
          <w:trHeight w:val="304"/>
        </w:trPr>
        <w:tc>
          <w:tcPr>
            <w:tcW w:w="1340" w:type="dxa"/>
            <w:vAlign w:val="bottom"/>
          </w:tcPr>
          <w:p>
            <w:pPr>
              <w:jc w:val="cente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Chief Executive Officer pursuant to Section 906 of the Sarbanes-Oxley Act of 2002 (18 U.S.C. § 1350)</w:t>
              </w:r>
            </w:hyperlink>
          </w:p>
        </w:tc>
      </w:tr>
      <w:tr>
        <w:trPr>
          <w:trHeight w:val="304"/>
        </w:trPr>
        <w:tc>
          <w:tcPr>
            <w:tcW w:w="1340" w:type="dxa"/>
            <w:vAlign w:val="bottom"/>
          </w:tcPr>
          <w:p>
            <w:pPr>
              <w:jc w:val="cente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of Chief Financial Officer pursuant to Section 906 of the Sarbanes-Oxley Act of 2002 (18 U.S.C. § 1350)</w:t>
              </w:r>
            </w:hyperlink>
          </w:p>
        </w:tc>
        <w:tc>
          <w:tcPr>
            <w:tcW w:w="40" w:type="dxa"/>
            <w:vAlign w:val="bottom"/>
            <w:tcBorders>
              <w:top w:val="single" w:sz="8" w:color="0000FF"/>
            </w:tcBorders>
          </w:tcPr>
          <w:p>
            <w:pPr>
              <w:spacing w:after="0"/>
              <w:rPr>
                <w:sz w:val="24"/>
                <w:szCs w:val="24"/>
                <w:color w:val="auto"/>
              </w:rPr>
            </w:pPr>
          </w:p>
        </w:tc>
        <w:tc>
          <w:tcPr>
            <w:tcW w:w="1060" w:type="dxa"/>
            <w:vAlign w:val="bottom"/>
            <w:gridSpan w:val="2"/>
          </w:tcPr>
          <w:p>
            <w:pPr>
              <w:spacing w:after="0"/>
              <w:rPr>
                <w:sz w:val="24"/>
                <w:szCs w:val="24"/>
                <w:color w:val="auto"/>
              </w:rPr>
            </w:pPr>
          </w:p>
        </w:tc>
      </w:tr>
      <w:tr>
        <w:trPr>
          <w:trHeight w:val="330"/>
        </w:trPr>
        <w:tc>
          <w:tcPr>
            <w:tcW w:w="134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w w:val="92"/>
              </w:rPr>
              <w:t>The following financial statements from Open Lending Corporation’s Quarterly Report on Form 10-Q for the quarterly period ended</w:t>
            </w:r>
          </w:p>
        </w:tc>
      </w:tr>
      <w:tr>
        <w:trPr>
          <w:trHeight w:val="230"/>
        </w:trPr>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rPr>
              <w:t>June 30, 2022, formatted in iXBRL (Inline eXtensible Business Reporting Language):</w:t>
            </w:r>
          </w:p>
        </w:tc>
      </w:tr>
      <w:tr>
        <w:trPr>
          <w:trHeight w:val="324"/>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rPr>
              <w:t>(ii) Condensed Consolidated Statement of Operations</w:t>
            </w:r>
          </w:p>
        </w:tc>
      </w:tr>
      <w:tr>
        <w:trPr>
          <w:trHeight w:val="324"/>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rPr>
              <w:t>(iii) Condensed Consolidated Statements of Stockholder’s Equity</w:t>
            </w:r>
          </w:p>
        </w:tc>
      </w:tr>
      <w:tr>
        <w:trPr>
          <w:trHeight w:val="324"/>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rPr>
              <w:t>(v) Notes to Condensed Consolidated Financial Statements</w:t>
            </w:r>
          </w:p>
        </w:tc>
      </w:tr>
      <w:tr>
        <w:trPr>
          <w:trHeight w:val="324"/>
        </w:trPr>
        <w:tc>
          <w:tcPr>
            <w:tcW w:w="134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96" w:lineRule="exact"/>
        <w:rPr>
          <w:sz w:val="20"/>
          <w:szCs w:val="20"/>
          <w:color w:val="auto"/>
        </w:rPr>
      </w:pPr>
    </w:p>
    <w:p>
      <w:pPr>
        <w:ind w:left="1600" w:hanging="995"/>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117" w:lineRule="exact"/>
        <w:rPr>
          <w:sz w:val="20"/>
          <w:szCs w:val="20"/>
          <w:color w:val="auto"/>
        </w:rPr>
      </w:pPr>
    </w:p>
    <w:p>
      <w:pPr>
        <w:ind w:left="1600" w:right="1000" w:hanging="1060"/>
        <w:spacing w:after="0" w:line="277"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undertakes to furnish supplemental copies of any of the omitted schedules to the SEC upon request.</w:t>
      </w:r>
    </w:p>
    <w:p>
      <w:pPr>
        <w:spacing w:after="0" w:line="62" w:lineRule="exact"/>
        <w:rPr>
          <w:sz w:val="20"/>
          <w:szCs w:val="20"/>
          <w:color w:val="auto"/>
        </w:rPr>
      </w:pPr>
    </w:p>
    <w:p>
      <w:pPr>
        <w:ind w:left="1600" w:hanging="975"/>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600" w:hanging="1021"/>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August 5, 2022</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21"/>
          <w:szCs w:val="21"/>
          <w:b w:val="1"/>
          <w:bCs w:val="1"/>
          <w:color w:val="auto"/>
        </w:rPr>
        <w:t>Exhibit 10.1</w:t>
      </w:r>
    </w:p>
    <w:p>
      <w:pPr>
        <w:spacing w:after="0" w:line="203" w:lineRule="exact"/>
        <w:rPr>
          <w:sz w:val="20"/>
          <w:szCs w:val="20"/>
          <w:color w:val="auto"/>
        </w:rPr>
      </w:pPr>
    </w:p>
    <w:p>
      <w:pPr>
        <w:jc w:val="center"/>
        <w:ind w:right="80"/>
        <w:spacing w:after="0" w:line="223" w:lineRule="auto"/>
        <w:rPr>
          <w:sz w:val="20"/>
          <w:szCs w:val="20"/>
          <w:color w:val="auto"/>
        </w:rPr>
      </w:pPr>
      <w:r>
        <w:rPr>
          <w:rFonts w:ascii="Arial" w:cs="Arial" w:eastAsia="Arial" w:hAnsi="Arial"/>
          <w:sz w:val="21"/>
          <w:szCs w:val="21"/>
          <w:b w:val="1"/>
          <w:bCs w:val="1"/>
          <w:color w:val="auto"/>
        </w:rPr>
        <w:t>CERTAIN IDENTIFIED INFORMATION MARKED WITH “[***]” HAS BEEN OMITTED FROM THIS DOCUMENT BECAUSE IT IS BOTH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3B3B3B"/>
        </w:rPr>
        <w:t>PROGRAM MANAGEMENT AGREEMENT</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3B3B3B"/>
        </w:rPr>
        <w:t xml:space="preserve">THIS PROGRAM MANAGEMENT AGREEMENT </w:t>
      </w:r>
      <w:r>
        <w:rPr>
          <w:rFonts w:ascii="Arial" w:cs="Arial" w:eastAsia="Arial" w:hAnsi="Arial"/>
          <w:sz w:val="21"/>
          <w:szCs w:val="21"/>
          <w:color w:val="3B3B3B"/>
        </w:rPr>
        <w:t>(this “</w:t>
      </w:r>
      <w:r>
        <w:rPr>
          <w:rFonts w:ascii="Arial" w:cs="Arial" w:eastAsia="Arial" w:hAnsi="Arial"/>
          <w:sz w:val="21"/>
          <w:szCs w:val="21"/>
          <w:u w:val="single" w:color="auto"/>
          <w:color w:val="3B3B3B"/>
        </w:rPr>
        <w:t>Agreement</w:t>
      </w:r>
      <w:r>
        <w:rPr>
          <w:rFonts w:ascii="Arial" w:cs="Arial" w:eastAsia="Arial" w:hAnsi="Arial"/>
          <w:sz w:val="21"/>
          <w:szCs w:val="21"/>
          <w:color w:val="3B3B3B"/>
        </w:rPr>
        <w:t>”) is effective as of</w:t>
      </w:r>
      <w:r>
        <w:rPr>
          <w:rFonts w:ascii="Arial" w:cs="Arial" w:eastAsia="Arial" w:hAnsi="Arial"/>
          <w:sz w:val="21"/>
          <w:szCs w:val="21"/>
          <w:b w:val="1"/>
          <w:bCs w:val="1"/>
          <w:color w:val="3B3B3B"/>
        </w:rPr>
        <w:t xml:space="preserve"> </w:t>
      </w:r>
      <w:r>
        <w:rPr>
          <w:rFonts w:ascii="Arial" w:cs="Arial" w:eastAsia="Arial" w:hAnsi="Arial"/>
          <w:sz w:val="18"/>
          <w:szCs w:val="18"/>
          <w:color w:val="000000"/>
        </w:rPr>
        <w:t>[***]</w:t>
      </w:r>
      <w:r>
        <w:rPr>
          <w:rFonts w:ascii="Arial" w:cs="Arial" w:eastAsia="Arial" w:hAnsi="Arial"/>
          <w:sz w:val="21"/>
          <w:szCs w:val="21"/>
          <w:b w:val="1"/>
          <w:bCs w:val="1"/>
          <w:color w:val="3B3B3B"/>
        </w:rPr>
        <w:t xml:space="preserve"> </w:t>
      </w:r>
      <w:r>
        <w:rPr>
          <w:rFonts w:ascii="Arial" w:cs="Arial" w:eastAsia="Arial" w:hAnsi="Arial"/>
          <w:sz w:val="21"/>
          <w:szCs w:val="21"/>
          <w:color w:val="3B3B3B"/>
        </w:rPr>
        <w:t>(the “</w:t>
      </w:r>
      <w:r>
        <w:rPr>
          <w:rFonts w:ascii="Arial" w:cs="Arial" w:eastAsia="Arial" w:hAnsi="Arial"/>
          <w:sz w:val="21"/>
          <w:szCs w:val="21"/>
          <w:u w:val="single" w:color="auto"/>
          <w:color w:val="3B3B3B"/>
        </w:rPr>
        <w:t>Effective Date</w:t>
      </w:r>
      <w:r>
        <w:rPr>
          <w:rFonts w:ascii="Arial" w:cs="Arial" w:eastAsia="Arial" w:hAnsi="Arial"/>
          <w:sz w:val="21"/>
          <w:szCs w:val="21"/>
          <w:color w:val="3B3B3B"/>
        </w:rPr>
        <w:t>”) by and</w:t>
      </w:r>
    </w:p>
    <w:p>
      <w:pPr>
        <w:jc w:val="both"/>
        <w:ind w:right="100"/>
        <w:spacing w:after="0" w:line="222" w:lineRule="auto"/>
        <w:rPr>
          <w:sz w:val="20"/>
          <w:szCs w:val="20"/>
          <w:color w:val="auto"/>
        </w:rPr>
      </w:pPr>
      <w:r>
        <w:rPr>
          <w:rFonts w:ascii="Arial" w:cs="Arial" w:eastAsia="Arial" w:hAnsi="Arial"/>
          <w:sz w:val="20"/>
          <w:szCs w:val="20"/>
          <w:color w:val="3B3B3B"/>
        </w:rPr>
        <w:t xml:space="preserve">between </w:t>
      </w:r>
      <w:r>
        <w:rPr>
          <w:rFonts w:ascii="Arial" w:cs="Arial" w:eastAsia="Arial" w:hAnsi="Arial"/>
          <w:sz w:val="20"/>
          <w:szCs w:val="20"/>
          <w:b w:val="1"/>
          <w:bCs w:val="1"/>
          <w:color w:val="3B3B3B"/>
        </w:rPr>
        <w:t>ARCH SPECIALTY INSURANCE COMPANY</w:t>
      </w:r>
      <w:r>
        <w:rPr>
          <w:rFonts w:ascii="Arial" w:cs="Arial" w:eastAsia="Arial" w:hAnsi="Arial"/>
          <w:sz w:val="20"/>
          <w:szCs w:val="20"/>
          <w:color w:val="3B3B3B"/>
        </w:rPr>
        <w:t>, a corporation organized under the laws of the state of Missouri with its principal place of business located at 2345 Grand Boulevard, Suite 900, Kansas City, Missouri 64108 (“</w:t>
      </w:r>
      <w:r>
        <w:rPr>
          <w:rFonts w:ascii="Arial" w:cs="Arial" w:eastAsia="Arial" w:hAnsi="Arial"/>
          <w:sz w:val="20"/>
          <w:szCs w:val="20"/>
          <w:u w:val="single" w:color="auto"/>
          <w:color w:val="3B3B3B"/>
        </w:rPr>
        <w:t>Arch</w:t>
      </w:r>
      <w:r>
        <w:rPr>
          <w:rFonts w:ascii="Arial" w:cs="Arial" w:eastAsia="Arial" w:hAnsi="Arial"/>
          <w:sz w:val="20"/>
          <w:szCs w:val="20"/>
          <w:color w:val="3B3B3B"/>
        </w:rPr>
        <w:t xml:space="preserve">”'), and </w:t>
      </w:r>
      <w:r>
        <w:rPr>
          <w:rFonts w:ascii="Arial" w:cs="Arial" w:eastAsia="Arial" w:hAnsi="Arial"/>
          <w:sz w:val="20"/>
          <w:szCs w:val="20"/>
          <w:b w:val="1"/>
          <w:bCs w:val="1"/>
          <w:color w:val="3B3B3B"/>
        </w:rPr>
        <w:t>LENDERS</w:t>
      </w:r>
      <w:r>
        <w:rPr>
          <w:rFonts w:ascii="Arial" w:cs="Arial" w:eastAsia="Arial" w:hAnsi="Arial"/>
          <w:sz w:val="20"/>
          <w:szCs w:val="20"/>
          <w:color w:val="3B3B3B"/>
        </w:rPr>
        <w:t xml:space="preserve"> </w:t>
      </w:r>
      <w:r>
        <w:rPr>
          <w:rFonts w:ascii="Arial" w:cs="Arial" w:eastAsia="Arial" w:hAnsi="Arial"/>
          <w:sz w:val="20"/>
          <w:szCs w:val="20"/>
          <w:b w:val="1"/>
          <w:bCs w:val="1"/>
          <w:color w:val="3B3B3B"/>
        </w:rPr>
        <w:t xml:space="preserve">PROTECTION, LLC, </w:t>
      </w:r>
      <w:r>
        <w:rPr>
          <w:rFonts w:ascii="Arial" w:cs="Arial" w:eastAsia="Arial" w:hAnsi="Arial"/>
          <w:sz w:val="20"/>
          <w:szCs w:val="20"/>
          <w:color w:val="3B3B3B"/>
        </w:rPr>
        <w:t>a limited liability company organized under the laws of the state of Texas with its principal place of business</w:t>
      </w:r>
      <w:r>
        <w:rPr>
          <w:rFonts w:ascii="Arial" w:cs="Arial" w:eastAsia="Arial" w:hAnsi="Arial"/>
          <w:sz w:val="20"/>
          <w:szCs w:val="20"/>
          <w:b w:val="1"/>
          <w:bCs w:val="1"/>
          <w:color w:val="3B3B3B"/>
        </w:rPr>
        <w:t xml:space="preserve"> </w:t>
      </w:r>
      <w:r>
        <w:rPr>
          <w:rFonts w:ascii="Arial" w:cs="Arial" w:eastAsia="Arial" w:hAnsi="Arial"/>
          <w:sz w:val="20"/>
          <w:szCs w:val="20"/>
          <w:color w:val="3B3B3B"/>
        </w:rPr>
        <w:t>located at 1501 South Mopac Expressway, Suite 450, Austin, TX 78746 (“</w:t>
      </w:r>
      <w:r>
        <w:rPr>
          <w:rFonts w:ascii="Arial" w:cs="Arial" w:eastAsia="Arial" w:hAnsi="Arial"/>
          <w:sz w:val="20"/>
          <w:szCs w:val="20"/>
          <w:u w:val="single" w:color="auto"/>
          <w:color w:val="3B3B3B"/>
        </w:rPr>
        <w:t>Lenders Protection</w:t>
      </w:r>
      <w:r>
        <w:rPr>
          <w:rFonts w:ascii="Arial" w:cs="Arial" w:eastAsia="Arial" w:hAnsi="Arial"/>
          <w:sz w:val="20"/>
          <w:szCs w:val="20"/>
          <w:color w:val="3B3B3B"/>
        </w:rPr>
        <w:t>”).</w:t>
      </w:r>
    </w:p>
    <w:p>
      <w:pPr>
        <w:spacing w:after="0" w:line="259" w:lineRule="exact"/>
        <w:rPr>
          <w:sz w:val="20"/>
          <w:szCs w:val="20"/>
          <w:color w:val="auto"/>
        </w:rPr>
      </w:pPr>
    </w:p>
    <w:p>
      <w:pPr>
        <w:jc w:val="both"/>
        <w:ind w:right="100"/>
        <w:spacing w:after="0" w:line="223" w:lineRule="auto"/>
        <w:rPr>
          <w:sz w:val="20"/>
          <w:szCs w:val="20"/>
          <w:color w:val="auto"/>
        </w:rPr>
      </w:pPr>
      <w:r>
        <w:rPr>
          <w:rFonts w:ascii="Arial" w:cs="Arial" w:eastAsia="Arial" w:hAnsi="Arial"/>
          <w:sz w:val="21"/>
          <w:szCs w:val="21"/>
          <w:b w:val="1"/>
          <w:bCs w:val="1"/>
          <w:color w:val="3B3B3B"/>
        </w:rPr>
        <w:t xml:space="preserve">WHEREAS, </w:t>
      </w:r>
      <w:r>
        <w:rPr>
          <w:rFonts w:ascii="Arial" w:cs="Arial" w:eastAsia="Arial" w:hAnsi="Arial"/>
          <w:sz w:val="21"/>
          <w:szCs w:val="21"/>
          <w:color w:val="3B3B3B"/>
        </w:rPr>
        <w:t>Lenders Protection has developed a proprietary software platform (the “</w:t>
      </w:r>
      <w:r>
        <w:rPr>
          <w:rFonts w:ascii="Arial" w:cs="Arial" w:eastAsia="Arial" w:hAnsi="Arial"/>
          <w:sz w:val="21"/>
          <w:szCs w:val="21"/>
          <w:u w:val="single" w:color="auto"/>
          <w:color w:val="3B3B3B"/>
        </w:rPr>
        <w:t>Software Platform</w:t>
      </w:r>
      <w:r>
        <w:rPr>
          <w:rFonts w:ascii="Arial" w:cs="Arial" w:eastAsia="Arial" w:hAnsi="Arial"/>
          <w:sz w:val="21"/>
          <w:szCs w:val="21"/>
          <w:color w:val="3B3B3B"/>
        </w:rPr>
        <w:t>”) to assist financial</w:t>
      </w:r>
      <w:r>
        <w:rPr>
          <w:rFonts w:ascii="Arial" w:cs="Arial" w:eastAsia="Arial" w:hAnsi="Arial"/>
          <w:sz w:val="21"/>
          <w:szCs w:val="21"/>
          <w:b w:val="1"/>
          <w:bCs w:val="1"/>
          <w:color w:val="3B3B3B"/>
        </w:rPr>
        <w:t xml:space="preserve"> </w:t>
      </w:r>
      <w:r>
        <w:rPr>
          <w:rFonts w:ascii="Arial" w:cs="Arial" w:eastAsia="Arial" w:hAnsi="Arial"/>
          <w:sz w:val="21"/>
          <w:szCs w:val="21"/>
          <w:color w:val="3B3B3B"/>
        </w:rPr>
        <w:t>institutions in determining the risk of default and loss on auto loans, enabling such financial institutions to book loans which would otherwise be denied; and</w:t>
      </w:r>
    </w:p>
    <w:p>
      <w:pPr>
        <w:spacing w:after="0" w:line="177" w:lineRule="exact"/>
        <w:rPr>
          <w:sz w:val="20"/>
          <w:szCs w:val="20"/>
          <w:color w:val="auto"/>
        </w:rPr>
      </w:pPr>
    </w:p>
    <w:p>
      <w:pPr>
        <w:jc w:val="both"/>
        <w:ind w:right="100"/>
        <w:spacing w:after="0" w:line="223" w:lineRule="auto"/>
        <w:rPr>
          <w:sz w:val="20"/>
          <w:szCs w:val="20"/>
          <w:color w:val="auto"/>
        </w:rPr>
      </w:pPr>
      <w:r>
        <w:rPr>
          <w:rFonts w:ascii="Arial" w:cs="Arial" w:eastAsia="Arial" w:hAnsi="Arial"/>
          <w:sz w:val="20"/>
          <w:szCs w:val="20"/>
          <w:b w:val="1"/>
          <w:bCs w:val="1"/>
          <w:color w:val="3B3B3B"/>
        </w:rPr>
        <w:t xml:space="preserve">WHEREAS, </w:t>
      </w:r>
      <w:r>
        <w:rPr>
          <w:rFonts w:ascii="Arial" w:cs="Arial" w:eastAsia="Arial" w:hAnsi="Arial"/>
          <w:sz w:val="20"/>
          <w:szCs w:val="20"/>
          <w:color w:val="3B3B3B"/>
        </w:rPr>
        <w:t>Lenders Protection has designed the Program</w:t>
      </w:r>
      <w:r>
        <w:rPr>
          <w:rFonts w:ascii="Arial" w:cs="Arial" w:eastAsia="Arial" w:hAnsi="Arial"/>
          <w:sz w:val="20"/>
          <w:szCs w:val="20"/>
          <w:b w:val="1"/>
          <w:bCs w:val="1"/>
          <w:color w:val="3B3B3B"/>
        </w:rPr>
        <w:t xml:space="preserve"> </w:t>
      </w:r>
      <w:r>
        <w:rPr>
          <w:rFonts w:ascii="Arial" w:cs="Arial" w:eastAsia="Arial" w:hAnsi="Arial"/>
          <w:sz w:val="17"/>
          <w:szCs w:val="17"/>
          <w:color w:val="000000"/>
        </w:rPr>
        <w:t>to commercialize the Software Platform which facilitates the issuance of credit</w:t>
      </w:r>
      <w:r>
        <w:rPr>
          <w:rFonts w:ascii="Arial" w:cs="Arial" w:eastAsia="Arial" w:hAnsi="Arial"/>
          <w:sz w:val="20"/>
          <w:szCs w:val="20"/>
          <w:b w:val="1"/>
          <w:bCs w:val="1"/>
          <w:color w:val="3B3B3B"/>
        </w:rPr>
        <w:t xml:space="preserve"> </w:t>
      </w:r>
      <w:r>
        <w:rPr>
          <w:rFonts w:ascii="Arial" w:cs="Arial" w:eastAsia="Arial" w:hAnsi="Arial"/>
          <w:sz w:val="17"/>
          <w:szCs w:val="17"/>
          <w:color w:val="000000"/>
        </w:rPr>
        <w:t>default insurance in connection with certain risks associated with non-prime or "near prime" auto loans (regardless of the insurance carrier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providing insurance in connection therewith) (hereinafter referred to as the “Program”)</w:t>
      </w:r>
      <w:r>
        <w:rPr>
          <w:rFonts w:ascii="Arial" w:cs="Arial" w:eastAsia="Arial" w:hAnsi="Arial"/>
          <w:sz w:val="20"/>
          <w:szCs w:val="20"/>
          <w:color w:val="3B3B3B"/>
        </w:rPr>
        <w:t>; and</w:t>
      </w:r>
    </w:p>
    <w:p>
      <w:pPr>
        <w:spacing w:after="0" w:line="205" w:lineRule="exact"/>
        <w:rPr>
          <w:sz w:val="20"/>
          <w:szCs w:val="20"/>
          <w:color w:val="auto"/>
        </w:rPr>
      </w:pPr>
    </w:p>
    <w:p>
      <w:pPr>
        <w:jc w:val="both"/>
        <w:ind w:right="100"/>
        <w:spacing w:after="0" w:line="234" w:lineRule="auto"/>
        <w:rPr>
          <w:sz w:val="20"/>
          <w:szCs w:val="20"/>
          <w:color w:val="auto"/>
        </w:rPr>
      </w:pPr>
      <w:r>
        <w:rPr>
          <w:rFonts w:ascii="Arial" w:cs="Arial" w:eastAsia="Arial" w:hAnsi="Arial"/>
          <w:sz w:val="21"/>
          <w:szCs w:val="21"/>
          <w:b w:val="1"/>
          <w:bCs w:val="1"/>
          <w:color w:val="3B3B3B"/>
        </w:rPr>
        <w:t xml:space="preserve">WHEREAS, </w:t>
      </w:r>
      <w:r>
        <w:rPr>
          <w:rFonts w:ascii="Arial" w:cs="Arial" w:eastAsia="Arial" w:hAnsi="Arial"/>
          <w:sz w:val="21"/>
          <w:szCs w:val="21"/>
          <w:color w:val="3B3B3B"/>
        </w:rPr>
        <w:t>Arch agrees to enter into a separate agreement with the Surplus Lines Broker (defined herein) who will offer the Policy</w:t>
      </w:r>
      <w:r>
        <w:rPr>
          <w:rFonts w:ascii="Arial" w:cs="Arial" w:eastAsia="Arial" w:hAnsi="Arial"/>
          <w:sz w:val="21"/>
          <w:szCs w:val="21"/>
          <w:b w:val="1"/>
          <w:bCs w:val="1"/>
          <w:color w:val="3B3B3B"/>
        </w:rPr>
        <w:t xml:space="preserve"> </w:t>
      </w:r>
      <w:r>
        <w:rPr>
          <w:rFonts w:ascii="Arial" w:cs="Arial" w:eastAsia="Arial" w:hAnsi="Arial"/>
          <w:sz w:val="21"/>
          <w:szCs w:val="21"/>
          <w:color w:val="3B3B3B"/>
        </w:rPr>
        <w:t>(defined herein) to financial institutions in connection with the Program; and</w:t>
      </w:r>
    </w:p>
    <w:p>
      <w:pPr>
        <w:spacing w:after="0" w:line="191" w:lineRule="exact"/>
        <w:rPr>
          <w:sz w:val="20"/>
          <w:szCs w:val="20"/>
          <w:color w:val="auto"/>
        </w:rPr>
      </w:pPr>
    </w:p>
    <w:p>
      <w:pPr>
        <w:ind w:right="500"/>
        <w:spacing w:after="0" w:line="234" w:lineRule="auto"/>
        <w:rPr>
          <w:sz w:val="20"/>
          <w:szCs w:val="20"/>
          <w:color w:val="auto"/>
        </w:rPr>
      </w:pPr>
      <w:r>
        <w:rPr>
          <w:rFonts w:ascii="Arial" w:cs="Arial" w:eastAsia="Arial" w:hAnsi="Arial"/>
          <w:sz w:val="21"/>
          <w:szCs w:val="21"/>
          <w:b w:val="1"/>
          <w:bCs w:val="1"/>
          <w:color w:val="3B3B3B"/>
        </w:rPr>
        <w:t xml:space="preserve">WHEREAS, </w:t>
      </w:r>
      <w:r>
        <w:rPr>
          <w:rFonts w:ascii="Arial" w:cs="Arial" w:eastAsia="Arial" w:hAnsi="Arial"/>
          <w:sz w:val="21"/>
          <w:szCs w:val="21"/>
          <w:color w:val="3B3B3B"/>
        </w:rPr>
        <w:t>Lenders Protection intends to source and produce business through the Surplus Lines Broker under the Program as</w:t>
      </w:r>
      <w:r>
        <w:rPr>
          <w:rFonts w:ascii="Arial" w:cs="Arial" w:eastAsia="Arial" w:hAnsi="Arial"/>
          <w:sz w:val="21"/>
          <w:szCs w:val="21"/>
          <w:b w:val="1"/>
          <w:bCs w:val="1"/>
          <w:color w:val="3B3B3B"/>
        </w:rPr>
        <w:t xml:space="preserve"> </w:t>
      </w:r>
      <w:r>
        <w:rPr>
          <w:rFonts w:ascii="Arial" w:cs="Arial" w:eastAsia="Arial" w:hAnsi="Arial"/>
          <w:sz w:val="21"/>
          <w:szCs w:val="21"/>
          <w:color w:val="3B3B3B"/>
        </w:rPr>
        <w:t>a subagent therefore; and</w:t>
      </w:r>
    </w:p>
    <w:p>
      <w:pPr>
        <w:spacing w:after="0" w:line="177" w:lineRule="exact"/>
        <w:rPr>
          <w:sz w:val="20"/>
          <w:szCs w:val="20"/>
          <w:color w:val="auto"/>
        </w:rPr>
      </w:pPr>
    </w:p>
    <w:p>
      <w:pPr>
        <w:jc w:val="both"/>
        <w:ind w:right="100"/>
        <w:spacing w:after="0" w:line="234" w:lineRule="auto"/>
        <w:rPr>
          <w:sz w:val="20"/>
          <w:szCs w:val="20"/>
          <w:color w:val="auto"/>
        </w:rPr>
      </w:pPr>
      <w:r>
        <w:rPr>
          <w:rFonts w:ascii="Arial" w:cs="Arial" w:eastAsia="Arial" w:hAnsi="Arial"/>
          <w:sz w:val="21"/>
          <w:szCs w:val="21"/>
          <w:b w:val="1"/>
          <w:bCs w:val="1"/>
          <w:color w:val="3B3B3B"/>
        </w:rPr>
        <w:t xml:space="preserve">WHEREAS, </w:t>
      </w:r>
      <w:r>
        <w:rPr>
          <w:rFonts w:ascii="Arial" w:cs="Arial" w:eastAsia="Arial" w:hAnsi="Arial"/>
          <w:sz w:val="21"/>
          <w:szCs w:val="21"/>
          <w:color w:val="3B3B3B"/>
        </w:rPr>
        <w:t>Arch agrees to cause a Policy to be issued to financial institutions that enter into a Program Agreement (defined herein)</w:t>
      </w:r>
      <w:r>
        <w:rPr>
          <w:rFonts w:ascii="Arial" w:cs="Arial" w:eastAsia="Arial" w:hAnsi="Arial"/>
          <w:sz w:val="21"/>
          <w:szCs w:val="21"/>
          <w:b w:val="1"/>
          <w:bCs w:val="1"/>
          <w:color w:val="3B3B3B"/>
        </w:rPr>
        <w:t xml:space="preserve"> </w:t>
      </w:r>
      <w:r>
        <w:rPr>
          <w:rFonts w:ascii="Arial" w:cs="Arial" w:eastAsia="Arial" w:hAnsi="Arial"/>
          <w:sz w:val="21"/>
          <w:szCs w:val="21"/>
          <w:color w:val="3B3B3B"/>
        </w:rPr>
        <w:t xml:space="preserve">and otherwise satisfies the requirements of </w:t>
      </w:r>
      <w:r>
        <w:rPr>
          <w:rFonts w:ascii="Arial" w:cs="Arial" w:eastAsia="Arial" w:hAnsi="Arial"/>
          <w:sz w:val="21"/>
          <w:szCs w:val="21"/>
          <w:u w:val="single" w:color="auto"/>
          <w:color w:val="3B3B3B"/>
        </w:rPr>
        <w:t>Section 4.1</w:t>
      </w:r>
      <w:r>
        <w:rPr>
          <w:rFonts w:ascii="Arial" w:cs="Arial" w:eastAsia="Arial" w:hAnsi="Arial"/>
          <w:sz w:val="21"/>
          <w:szCs w:val="21"/>
          <w:color w:val="3B3B3B"/>
        </w:rPr>
        <w:t xml:space="preserve"> hereof; and</w:t>
      </w:r>
    </w:p>
    <w:p>
      <w:pPr>
        <w:spacing w:after="0" w:line="177" w:lineRule="exact"/>
        <w:rPr>
          <w:sz w:val="20"/>
          <w:szCs w:val="20"/>
          <w:color w:val="auto"/>
        </w:rPr>
      </w:pPr>
    </w:p>
    <w:p>
      <w:pPr>
        <w:jc w:val="both"/>
        <w:ind w:right="100"/>
        <w:spacing w:after="0" w:line="223" w:lineRule="auto"/>
        <w:rPr>
          <w:sz w:val="20"/>
          <w:szCs w:val="20"/>
          <w:color w:val="auto"/>
        </w:rPr>
      </w:pPr>
      <w:r>
        <w:rPr>
          <w:rFonts w:ascii="Arial" w:cs="Arial" w:eastAsia="Arial" w:hAnsi="Arial"/>
          <w:sz w:val="21"/>
          <w:szCs w:val="21"/>
          <w:b w:val="1"/>
          <w:bCs w:val="1"/>
          <w:color w:val="3B3B3B"/>
        </w:rPr>
        <w:t xml:space="preserve">WHEREAS, </w:t>
      </w:r>
      <w:r>
        <w:rPr>
          <w:rFonts w:ascii="Arial" w:cs="Arial" w:eastAsia="Arial" w:hAnsi="Arial"/>
          <w:sz w:val="21"/>
          <w:szCs w:val="21"/>
          <w:color w:val="3B3B3B"/>
        </w:rPr>
        <w:t>Arch shall cause each Insurer (as defined herein) to assign to Lenders Protection, or its designee, the right to perform</w:t>
      </w:r>
      <w:r>
        <w:rPr>
          <w:rFonts w:ascii="Arial" w:cs="Arial" w:eastAsia="Arial" w:hAnsi="Arial"/>
          <w:sz w:val="21"/>
          <w:szCs w:val="21"/>
          <w:b w:val="1"/>
          <w:bCs w:val="1"/>
          <w:color w:val="3B3B3B"/>
        </w:rPr>
        <w:t xml:space="preserve"> </w:t>
      </w:r>
      <w:r>
        <w:rPr>
          <w:rFonts w:ascii="Arial" w:cs="Arial" w:eastAsia="Arial" w:hAnsi="Arial"/>
          <w:sz w:val="21"/>
          <w:szCs w:val="21"/>
          <w:color w:val="3B3B3B"/>
        </w:rPr>
        <w:t xml:space="preserve">claims administration for Claims subject to </w:t>
      </w:r>
      <w:r>
        <w:rPr>
          <w:rFonts w:ascii="Arial" w:cs="Arial" w:eastAsia="Arial" w:hAnsi="Arial"/>
          <w:sz w:val="21"/>
          <w:szCs w:val="21"/>
          <w:u w:val="single" w:color="auto"/>
          <w:color w:val="3B3B3B"/>
        </w:rPr>
        <w:t>Section 4.6</w:t>
      </w:r>
      <w:r>
        <w:rPr>
          <w:rFonts w:ascii="Arial" w:cs="Arial" w:eastAsia="Arial" w:hAnsi="Arial"/>
          <w:sz w:val="21"/>
          <w:szCs w:val="21"/>
          <w:color w:val="3B3B3B"/>
        </w:rPr>
        <w:t xml:space="preserve"> and Lenders Protection, or its designee, will provide such claims administration services; and</w:t>
      </w:r>
    </w:p>
    <w:p>
      <w:pPr>
        <w:spacing w:after="0" w:line="177" w:lineRule="exact"/>
        <w:rPr>
          <w:sz w:val="20"/>
          <w:szCs w:val="20"/>
          <w:color w:val="auto"/>
        </w:rPr>
      </w:pPr>
    </w:p>
    <w:p>
      <w:pPr>
        <w:jc w:val="both"/>
        <w:ind w:right="100"/>
        <w:spacing w:after="0" w:line="234" w:lineRule="auto"/>
        <w:rPr>
          <w:sz w:val="20"/>
          <w:szCs w:val="20"/>
          <w:color w:val="auto"/>
        </w:rPr>
      </w:pPr>
      <w:r>
        <w:rPr>
          <w:rFonts w:ascii="Arial" w:cs="Arial" w:eastAsia="Arial" w:hAnsi="Arial"/>
          <w:sz w:val="21"/>
          <w:szCs w:val="21"/>
          <w:b w:val="1"/>
          <w:bCs w:val="1"/>
          <w:color w:val="3B3B3B"/>
        </w:rPr>
        <w:t xml:space="preserve">WHEREAS, </w:t>
      </w:r>
      <w:r>
        <w:rPr>
          <w:rFonts w:ascii="Arial" w:cs="Arial" w:eastAsia="Arial" w:hAnsi="Arial"/>
          <w:sz w:val="21"/>
          <w:szCs w:val="21"/>
          <w:color w:val="3B3B3B"/>
        </w:rPr>
        <w:t>Lenders Protection will provide, pursuant to the terms hereof, certain technical and administrative support in</w:t>
      </w:r>
      <w:r>
        <w:rPr>
          <w:rFonts w:ascii="Arial" w:cs="Arial" w:eastAsia="Arial" w:hAnsi="Arial"/>
          <w:sz w:val="21"/>
          <w:szCs w:val="21"/>
          <w:b w:val="1"/>
          <w:bCs w:val="1"/>
          <w:color w:val="3B3B3B"/>
        </w:rPr>
        <w:t xml:space="preserve"> </w:t>
      </w:r>
      <w:r>
        <w:rPr>
          <w:rFonts w:ascii="Arial" w:cs="Arial" w:eastAsia="Arial" w:hAnsi="Arial"/>
          <w:sz w:val="21"/>
          <w:szCs w:val="21"/>
          <w:color w:val="3B3B3B"/>
        </w:rPr>
        <w:t>connection with the Program along with maintenance of the Software Platform; and</w:t>
      </w:r>
    </w:p>
    <w:p>
      <w:pPr>
        <w:spacing w:after="0" w:line="191" w:lineRule="exact"/>
        <w:rPr>
          <w:sz w:val="20"/>
          <w:szCs w:val="20"/>
          <w:color w:val="auto"/>
        </w:rPr>
      </w:pPr>
    </w:p>
    <w:p>
      <w:pPr>
        <w:ind w:right="300"/>
        <w:spacing w:after="0" w:line="256" w:lineRule="auto"/>
        <w:rPr>
          <w:sz w:val="20"/>
          <w:szCs w:val="20"/>
          <w:color w:val="auto"/>
        </w:rPr>
      </w:pPr>
      <w:r>
        <w:rPr>
          <w:rFonts w:ascii="Arial" w:cs="Arial" w:eastAsia="Arial" w:hAnsi="Arial"/>
          <w:sz w:val="21"/>
          <w:szCs w:val="21"/>
          <w:b w:val="1"/>
          <w:bCs w:val="1"/>
          <w:color w:val="3B3B3B"/>
        </w:rPr>
        <w:t xml:space="preserve">WHEREAS, </w:t>
      </w:r>
      <w:r>
        <w:rPr>
          <w:rFonts w:ascii="Arial" w:cs="Arial" w:eastAsia="Arial" w:hAnsi="Arial"/>
          <w:sz w:val="21"/>
          <w:szCs w:val="21"/>
          <w:color w:val="3B3B3B"/>
        </w:rPr>
        <w:t>Arch and Lenders Protection acknowledge that certain benefits under the Program shall be shared on the basis herein</w:t>
      </w:r>
      <w:r>
        <w:rPr>
          <w:rFonts w:ascii="Arial" w:cs="Arial" w:eastAsia="Arial" w:hAnsi="Arial"/>
          <w:sz w:val="21"/>
          <w:szCs w:val="21"/>
          <w:b w:val="1"/>
          <w:bCs w:val="1"/>
          <w:color w:val="3B3B3B"/>
        </w:rPr>
        <w:t xml:space="preserve"> </w:t>
      </w:r>
      <w:r>
        <w:rPr>
          <w:rFonts w:ascii="Arial" w:cs="Arial" w:eastAsia="Arial" w:hAnsi="Arial"/>
          <w:sz w:val="21"/>
          <w:szCs w:val="21"/>
          <w:color w:val="3B3B3B"/>
        </w:rPr>
        <w:t>provided.</w:t>
      </w:r>
    </w:p>
    <w:p>
      <w:pPr>
        <w:spacing w:after="0" w:line="187" w:lineRule="exact"/>
        <w:rPr>
          <w:sz w:val="20"/>
          <w:szCs w:val="20"/>
          <w:color w:val="auto"/>
        </w:rPr>
      </w:pPr>
    </w:p>
    <w:p>
      <w:pPr>
        <w:jc w:val="both"/>
        <w:ind w:right="120"/>
        <w:spacing w:after="0" w:line="223" w:lineRule="auto"/>
        <w:rPr>
          <w:sz w:val="20"/>
          <w:szCs w:val="20"/>
          <w:color w:val="auto"/>
        </w:rPr>
      </w:pPr>
      <w:r>
        <w:rPr>
          <w:rFonts w:ascii="Arial" w:cs="Arial" w:eastAsia="Arial" w:hAnsi="Arial"/>
          <w:sz w:val="21"/>
          <w:szCs w:val="21"/>
          <w:b w:val="1"/>
          <w:bCs w:val="1"/>
          <w:color w:val="3B3B3B"/>
        </w:rPr>
        <w:t xml:space="preserve">NOW, THEREFORE, </w:t>
      </w:r>
      <w:r>
        <w:rPr>
          <w:rFonts w:ascii="Arial" w:cs="Arial" w:eastAsia="Arial" w:hAnsi="Arial"/>
          <w:sz w:val="21"/>
          <w:szCs w:val="21"/>
          <w:color w:val="3B3B3B"/>
        </w:rPr>
        <w:t>in consideration of the above promises and the mutual agreements hereinafter set forth, and for other good</w:t>
      </w:r>
      <w:r>
        <w:rPr>
          <w:rFonts w:ascii="Arial" w:cs="Arial" w:eastAsia="Arial" w:hAnsi="Arial"/>
          <w:sz w:val="21"/>
          <w:szCs w:val="21"/>
          <w:b w:val="1"/>
          <w:bCs w:val="1"/>
          <w:color w:val="3B3B3B"/>
        </w:rPr>
        <w:t xml:space="preserve"> </w:t>
      </w:r>
      <w:r>
        <w:rPr>
          <w:rFonts w:ascii="Arial" w:cs="Arial" w:eastAsia="Arial" w:hAnsi="Arial"/>
          <w:sz w:val="21"/>
          <w:szCs w:val="21"/>
          <w:color w:val="3B3B3B"/>
        </w:rPr>
        <w:t>and valuable consideration, the receipt, adequacy and sufficiency of which are hereby acknowledged, and intending to be legally bound, Arch and Lenders Protection hereby agree as follows:</w:t>
      </w:r>
    </w:p>
    <w:p>
      <w:pPr>
        <w:sectPr>
          <w:pgSz w:w="11900" w:h="16838" w:orient="portrait"/>
          <w:cols w:equalWidth="0" w:num="1">
            <w:col w:w="11140"/>
          </w:cols>
          <w:pgMar w:left="420" w:top="10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1"/>
          <w:szCs w:val="21"/>
          <w:b w:val="1"/>
          <w:bCs w:val="1"/>
          <w:color w:val="3B3B3B"/>
        </w:rPr>
        <w:t>ARTICLE 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DEFINITIONS AND INTERPRETATION</w:t>
      </w:r>
    </w:p>
    <w:p>
      <w:pPr>
        <w:spacing w:after="0" w:line="304" w:lineRule="exact"/>
        <w:rPr>
          <w:sz w:val="20"/>
          <w:szCs w:val="20"/>
          <w:color w:val="auto"/>
        </w:rPr>
      </w:pPr>
    </w:p>
    <w:p>
      <w:pPr>
        <w:ind w:right="600"/>
        <w:spacing w:after="0" w:line="278" w:lineRule="auto"/>
        <w:rPr>
          <w:sz w:val="20"/>
          <w:szCs w:val="20"/>
          <w:color w:val="auto"/>
        </w:rPr>
      </w:pPr>
      <w:r>
        <w:rPr>
          <w:rFonts w:ascii="Arial" w:cs="Arial" w:eastAsia="Arial" w:hAnsi="Arial"/>
          <w:sz w:val="21"/>
          <w:szCs w:val="21"/>
          <w:b w:val="1"/>
          <w:bCs w:val="1"/>
          <w:color w:val="3B3B3B"/>
        </w:rPr>
        <w:t xml:space="preserve">Section 1.1 </w:t>
      </w:r>
      <w:r>
        <w:rPr>
          <w:rFonts w:ascii="Arial" w:cs="Arial" w:eastAsia="Arial" w:hAnsi="Arial"/>
          <w:sz w:val="21"/>
          <w:szCs w:val="21"/>
          <w:b w:val="1"/>
          <w:bCs w:val="1"/>
          <w:u w:val="single" w:color="auto"/>
          <w:color w:val="000000"/>
        </w:rPr>
        <w:t>Definitions</w:t>
      </w:r>
      <w:r>
        <w:rPr>
          <w:rFonts w:ascii="Arial" w:cs="Arial" w:eastAsia="Arial" w:hAnsi="Arial"/>
          <w:sz w:val="21"/>
          <w:szCs w:val="21"/>
          <w:b w:val="1"/>
          <w:bCs w:val="1"/>
          <w:color w:val="3B3B3B"/>
        </w:rPr>
        <w:t xml:space="preserve">. </w:t>
      </w:r>
      <w:r>
        <w:rPr>
          <w:rFonts w:ascii="Arial" w:cs="Arial" w:eastAsia="Arial" w:hAnsi="Arial"/>
          <w:sz w:val="21"/>
          <w:szCs w:val="21"/>
          <w:color w:val="3B3B3B"/>
        </w:rPr>
        <w:t>All capitalized terms used, but not defined, herein shall have the respective meanings set forth in</w:t>
      </w:r>
      <w:r>
        <w:rPr>
          <w:rFonts w:ascii="Arial" w:cs="Arial" w:eastAsia="Arial" w:hAnsi="Arial"/>
          <w:sz w:val="21"/>
          <w:szCs w:val="21"/>
          <w:b w:val="1"/>
          <w:bCs w:val="1"/>
          <w:color w:val="3B3B3B"/>
        </w:rPr>
        <w:t xml:space="preserve"> </w:t>
      </w:r>
      <w:r>
        <w:rPr>
          <w:rFonts w:ascii="Arial" w:cs="Arial" w:eastAsia="Arial" w:hAnsi="Arial"/>
          <w:sz w:val="21"/>
          <w:szCs w:val="21"/>
          <w:u w:val="single" w:color="auto"/>
          <w:color w:val="3B3B3B"/>
        </w:rPr>
        <w:t>Schedule A</w:t>
      </w:r>
      <w:r>
        <w:rPr>
          <w:rFonts w:ascii="Arial" w:cs="Arial" w:eastAsia="Arial" w:hAnsi="Arial"/>
          <w:sz w:val="21"/>
          <w:szCs w:val="21"/>
          <w:color w:val="3B3B3B"/>
        </w:rPr>
        <w:t xml:space="preserve"> attached hereto.</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3B3B3B"/>
        </w:rPr>
        <w:t xml:space="preserve">Section 1.2 </w:t>
      </w:r>
      <w:r>
        <w:rPr>
          <w:rFonts w:ascii="Arial" w:cs="Arial" w:eastAsia="Arial" w:hAnsi="Arial"/>
          <w:sz w:val="19"/>
          <w:szCs w:val="19"/>
          <w:b w:val="1"/>
          <w:bCs w:val="1"/>
          <w:u w:val="single" w:color="auto"/>
          <w:color w:val="000000"/>
        </w:rPr>
        <w:t>Interpretation</w:t>
      </w:r>
      <w:r>
        <w:rPr>
          <w:rFonts w:ascii="Arial" w:cs="Arial" w:eastAsia="Arial" w:hAnsi="Arial"/>
          <w:sz w:val="19"/>
          <w:szCs w:val="19"/>
          <w:color w:val="3B3B3B"/>
        </w:rPr>
        <w:t>. In this Agreement, unless the context otherwise requires, the singular shall include the plural and any</w:t>
      </w:r>
    </w:p>
    <w:p>
      <w:pPr>
        <w:spacing w:after="0" w:line="30"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3B3B3B"/>
        </w:rPr>
        <w:t>pronoun shall include the corresponding masculine, feminine and neuter forms. The words “hereof,” “herein,” “hereto,” and “hereunder,” and words of similar import, when used in this Agreement shall, unless otherwise expressly specified, refer to this Agreement as a whole and not to any particular provision of this Agreement. Whenever the term “including” is used herein in connection with a listing of items included within a prior reference, such listing shall be interpreted to be illustrative only, and shall not be interpreted as a limitation on or exclusive listing of the items included in the prior reference. Any reference in this Agreement to “Section”, ''Article”, “'Appendix”, “Exhibit” or “Schedule” shall be references to this Agreement unless otherwise stated, and all such Appendices, Exhibits and Schedules shall be incorporated in and attached to this Agreement by reference. Unless otherwise stated, any reference in this Agreement to any entity shall include its permitted successors and assigns, and, in the case of any Governmental Authority, any entity succeeding to its functions and capacities.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3B3B3B"/>
        </w:rPr>
        <w:t xml:space="preserve">Section 1.3 </w:t>
      </w:r>
      <w:r>
        <w:rPr>
          <w:rFonts w:ascii="Arial" w:cs="Arial" w:eastAsia="Arial" w:hAnsi="Arial"/>
          <w:sz w:val="19"/>
          <w:szCs w:val="19"/>
          <w:b w:val="1"/>
          <w:bCs w:val="1"/>
          <w:u w:val="single" w:color="auto"/>
          <w:color w:val="000000"/>
        </w:rPr>
        <w:t>Construction</w:t>
      </w:r>
      <w:r>
        <w:rPr>
          <w:rFonts w:ascii="Arial" w:cs="Arial" w:eastAsia="Arial" w:hAnsi="Arial"/>
          <w:sz w:val="19"/>
          <w:szCs w:val="19"/>
          <w:b w:val="1"/>
          <w:bCs w:val="1"/>
          <w:color w:val="3B3B3B"/>
        </w:rPr>
        <w:t xml:space="preserve">. </w:t>
      </w:r>
      <w:r>
        <w:rPr>
          <w:rFonts w:ascii="Arial" w:cs="Arial" w:eastAsia="Arial" w:hAnsi="Arial"/>
          <w:sz w:val="19"/>
          <w:szCs w:val="19"/>
          <w:color w:val="3B3B3B"/>
        </w:rPr>
        <w:t>If a conflict exists between the text of this Agreement and any Schedule, Exhibit or Appendix, the terms</w:t>
      </w:r>
    </w:p>
    <w:p>
      <w:pPr>
        <w:spacing w:after="0" w:line="30"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3B3B3B"/>
        </w:rPr>
        <w:t>of this Agreement shall prevail. Both Parties acknowledge that each was actively involved in the negotiation and drafting of this Agreement and that no law or rule of construction shall be raised or used in which the provisions of this Agreement shall be construed in favor or against either Party because one is deemed to be the author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ARTICLE 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TERM AND TERMINATION</w:t>
      </w:r>
    </w:p>
    <w:p>
      <w:pPr>
        <w:spacing w:after="0" w:line="204" w:lineRule="exact"/>
        <w:rPr>
          <w:sz w:val="20"/>
          <w:szCs w:val="20"/>
          <w:color w:val="auto"/>
        </w:rPr>
      </w:pPr>
    </w:p>
    <w:p>
      <w:pPr>
        <w:jc w:val="both"/>
        <w:spacing w:after="0" w:line="223" w:lineRule="auto"/>
        <w:rPr>
          <w:sz w:val="20"/>
          <w:szCs w:val="20"/>
          <w:color w:val="auto"/>
        </w:rPr>
      </w:pPr>
      <w:r>
        <w:rPr>
          <w:rFonts w:ascii="Arial" w:cs="Arial" w:eastAsia="Arial" w:hAnsi="Arial"/>
          <w:sz w:val="20"/>
          <w:szCs w:val="20"/>
          <w:b w:val="1"/>
          <w:bCs w:val="1"/>
          <w:color w:val="3B3B3B"/>
        </w:rPr>
        <w:t xml:space="preserve">Section 2.1 </w:t>
      </w:r>
      <w:r>
        <w:rPr>
          <w:rFonts w:ascii="Arial" w:cs="Arial" w:eastAsia="Arial" w:hAnsi="Arial"/>
          <w:sz w:val="20"/>
          <w:szCs w:val="20"/>
          <w:b w:val="1"/>
          <w:bCs w:val="1"/>
          <w:u w:val="single" w:color="auto"/>
          <w:color w:val="3B3B3B"/>
        </w:rPr>
        <w:t>Term</w:t>
      </w:r>
      <w:r>
        <w:rPr>
          <w:rFonts w:ascii="Arial" w:cs="Arial" w:eastAsia="Arial" w:hAnsi="Arial"/>
          <w:sz w:val="20"/>
          <w:szCs w:val="20"/>
          <w:color w:val="3B3B3B"/>
        </w:rPr>
        <w:t>. The initial term of this Agreement shall commence on the Effective Date and shall continue for a period ending at</w:t>
      </w:r>
      <w:r>
        <w:rPr>
          <w:rFonts w:ascii="Arial" w:cs="Arial" w:eastAsia="Arial" w:hAnsi="Arial"/>
          <w:sz w:val="20"/>
          <w:szCs w:val="20"/>
          <w:b w:val="1"/>
          <w:bCs w:val="1"/>
          <w:color w:val="3B3B3B"/>
        </w:rPr>
        <w:t xml:space="preserve"> </w:t>
      </w:r>
      <w:r>
        <w:rPr>
          <w:rFonts w:ascii="Arial" w:cs="Arial" w:eastAsia="Arial" w:hAnsi="Arial"/>
          <w:sz w:val="20"/>
          <w:szCs w:val="20"/>
          <w:color w:val="3B3B3B"/>
        </w:rPr>
        <w:t>11:59 p.m. Central Standard Time (“</w:t>
      </w:r>
      <w:r>
        <w:rPr>
          <w:rFonts w:ascii="Arial" w:cs="Arial" w:eastAsia="Arial" w:hAnsi="Arial"/>
          <w:sz w:val="20"/>
          <w:szCs w:val="20"/>
          <w:u w:val="single" w:color="auto"/>
          <w:color w:val="3B3B3B"/>
        </w:rPr>
        <w:t>C.S.T.</w:t>
      </w:r>
      <w:r>
        <w:rPr>
          <w:rFonts w:ascii="Arial" w:cs="Arial" w:eastAsia="Arial" w:hAnsi="Arial"/>
          <w:sz w:val="20"/>
          <w:szCs w:val="20"/>
          <w:color w:val="3B3B3B"/>
        </w:rPr>
        <w:t>”) on April 30, 2027 (the “</w:t>
      </w:r>
      <w:r>
        <w:rPr>
          <w:rFonts w:ascii="Arial" w:cs="Arial" w:eastAsia="Arial" w:hAnsi="Arial"/>
          <w:sz w:val="20"/>
          <w:szCs w:val="20"/>
          <w:u w:val="single" w:color="auto"/>
          <w:color w:val="3B3B3B"/>
        </w:rPr>
        <w:t>Initial Term</w:t>
      </w:r>
      <w:r>
        <w:rPr>
          <w:rFonts w:ascii="Arial" w:cs="Arial" w:eastAsia="Arial" w:hAnsi="Arial"/>
          <w:sz w:val="20"/>
          <w:szCs w:val="20"/>
          <w:color w:val="3B3B3B"/>
        </w:rPr>
        <w:t>”) to the extent not terminated sooner pursuant to the terms hereof. After the Initial Term, this Agreement shall be automatically extended for renewal terms of one (1) year each (each a “</w:t>
      </w:r>
      <w:r>
        <w:rPr>
          <w:rFonts w:ascii="Arial" w:cs="Arial" w:eastAsia="Arial" w:hAnsi="Arial"/>
          <w:sz w:val="20"/>
          <w:szCs w:val="20"/>
          <w:u w:val="single" w:color="auto"/>
          <w:color w:val="3B3B3B"/>
        </w:rPr>
        <w:t>Renewal Term</w:t>
      </w:r>
      <w:r>
        <w:rPr>
          <w:rFonts w:ascii="Arial" w:cs="Arial" w:eastAsia="Arial" w:hAnsi="Arial"/>
          <w:sz w:val="20"/>
          <w:szCs w:val="20"/>
          <w:color w:val="3B3B3B"/>
        </w:rPr>
        <w:t>”), unless either Party provides the other with written notice of termination at least one hundred and eighty (180) days prior to the expiration of the Initial Term or the applicable Renewal Term. As used herein, “</w:t>
      </w:r>
      <w:r>
        <w:rPr>
          <w:rFonts w:ascii="Arial" w:cs="Arial" w:eastAsia="Arial" w:hAnsi="Arial"/>
          <w:sz w:val="20"/>
          <w:szCs w:val="20"/>
          <w:u w:val="single" w:color="auto"/>
          <w:color w:val="3B3B3B"/>
        </w:rPr>
        <w:t>Term</w:t>
      </w:r>
      <w:r>
        <w:rPr>
          <w:rFonts w:ascii="Arial" w:cs="Arial" w:eastAsia="Arial" w:hAnsi="Arial"/>
          <w:sz w:val="20"/>
          <w:szCs w:val="20"/>
          <w:color w:val="3B3B3B"/>
        </w:rPr>
        <w:t>” shall mean and refer collectively to the Initial Term and any Renewal Term(s),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3B3B3B"/>
        </w:rPr>
        <w:t xml:space="preserve">Section 2.2 </w:t>
      </w:r>
      <w:r>
        <w:rPr>
          <w:rFonts w:ascii="Arial" w:cs="Arial" w:eastAsia="Arial" w:hAnsi="Arial"/>
          <w:sz w:val="21"/>
          <w:szCs w:val="21"/>
          <w:b w:val="1"/>
          <w:bCs w:val="1"/>
          <w:u w:val="single" w:color="auto"/>
          <w:color w:val="3B3B3B"/>
        </w:rPr>
        <w:t>Termination</w:t>
      </w:r>
      <w:r>
        <w:rPr>
          <w:rFonts w:ascii="Arial" w:cs="Arial" w:eastAsia="Arial" w:hAnsi="Arial"/>
          <w:sz w:val="21"/>
          <w:szCs w:val="21"/>
          <w:b w:val="1"/>
          <w:bCs w:val="1"/>
          <w:color w:val="3B3B3B"/>
        </w:rPr>
        <w:t xml:space="preserve">. </w:t>
      </w:r>
      <w:r>
        <w:rPr>
          <w:rFonts w:ascii="Arial" w:cs="Arial" w:eastAsia="Arial" w:hAnsi="Arial"/>
          <w:sz w:val="21"/>
          <w:szCs w:val="21"/>
          <w:color w:val="3B3B3B"/>
        </w:rPr>
        <w:t>This Agreement may be terminated as follows:</w:t>
      </w:r>
    </w:p>
    <w:p>
      <w:pPr>
        <w:spacing w:after="0" w:line="305" w:lineRule="exact"/>
        <w:rPr>
          <w:sz w:val="20"/>
          <w:szCs w:val="20"/>
          <w:color w:val="auto"/>
        </w:rPr>
      </w:pPr>
    </w:p>
    <w:p>
      <w:pPr>
        <w:ind w:left="1300" w:hanging="655"/>
        <w:spacing w:after="0"/>
        <w:tabs>
          <w:tab w:leader="none" w:pos="1300" w:val="left"/>
        </w:tabs>
        <w:numPr>
          <w:ilvl w:val="0"/>
          <w:numId w:val="11"/>
        </w:numPr>
        <w:rPr>
          <w:rFonts w:ascii="Arial" w:cs="Arial" w:eastAsia="Arial" w:hAnsi="Arial"/>
          <w:sz w:val="21"/>
          <w:szCs w:val="21"/>
          <w:color w:val="3B3B3B"/>
        </w:rPr>
      </w:pPr>
      <w:r>
        <w:rPr>
          <w:rFonts w:ascii="Arial" w:cs="Arial" w:eastAsia="Arial" w:hAnsi="Arial"/>
          <w:sz w:val="21"/>
          <w:szCs w:val="21"/>
          <w:color w:val="3B3B3B"/>
        </w:rPr>
        <w:t>at any time by mutual written consent of the Parties;</w:t>
      </w:r>
    </w:p>
    <w:p>
      <w:pPr>
        <w:spacing w:after="0" w:line="204" w:lineRule="exact"/>
        <w:rPr>
          <w:rFonts w:ascii="Arial" w:cs="Arial" w:eastAsia="Arial" w:hAnsi="Arial"/>
          <w:sz w:val="21"/>
          <w:szCs w:val="21"/>
          <w:color w:val="3B3B3B"/>
        </w:rPr>
      </w:pPr>
    </w:p>
    <w:p>
      <w:pPr>
        <w:ind w:firstLine="645"/>
        <w:spacing w:after="0" w:line="232" w:lineRule="auto"/>
        <w:tabs>
          <w:tab w:leader="none" w:pos="1199" w:val="left"/>
        </w:tabs>
        <w:numPr>
          <w:ilvl w:val="0"/>
          <w:numId w:val="11"/>
        </w:numPr>
        <w:rPr>
          <w:rFonts w:ascii="Arial" w:cs="Arial" w:eastAsia="Arial" w:hAnsi="Arial"/>
          <w:sz w:val="21"/>
          <w:szCs w:val="21"/>
          <w:color w:val="3B3B3B"/>
        </w:rPr>
      </w:pPr>
      <w:r>
        <w:rPr>
          <w:rFonts w:ascii="Arial" w:cs="Arial" w:eastAsia="Arial" w:hAnsi="Arial"/>
          <w:sz w:val="21"/>
          <w:szCs w:val="21"/>
          <w:color w:val="3B3B3B"/>
        </w:rPr>
        <w:t>immediately upon the delivery of written notice of termination by either Party to the other Party if an Event of Bankruptcy occurs regarding such other Party and such Event of Bankruptcy is continuing at the time of the notice;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2</w:t>
      </w:r>
    </w:p>
    <w:p>
      <w:pPr>
        <w:sectPr>
          <w:pgSz w:w="11900" w:h="16838" w:orient="portrait"/>
          <w:cols w:equalWidth="0" w:num="1">
            <w:col w:w="11040"/>
          </w:cols>
          <w:pgMar w:left="420" w:top="1308" w:right="439" w:bottom="1440" w:gutter="0" w:footer="0" w:header="0"/>
        </w:sectPr>
      </w:pPr>
    </w:p>
    <w:bookmarkStart w:id="35" w:name="page36"/>
    <w:bookmarkEnd w:id="35"/>
    <w:p>
      <w:pPr>
        <w:jc w:val="both"/>
        <w:ind w:firstLine="645"/>
        <w:spacing w:after="0" w:line="221" w:lineRule="auto"/>
        <w:tabs>
          <w:tab w:leader="none" w:pos="1201" w:val="left"/>
        </w:tabs>
        <w:numPr>
          <w:ilvl w:val="0"/>
          <w:numId w:val="12"/>
        </w:numPr>
        <w:rPr>
          <w:rFonts w:ascii="Arial" w:cs="Arial" w:eastAsia="Arial" w:hAnsi="Arial"/>
          <w:sz w:val="20"/>
          <w:szCs w:val="20"/>
          <w:color w:val="3B3B3B"/>
        </w:rPr>
      </w:pPr>
      <w:r>
        <w:rPr>
          <w:rFonts w:ascii="Arial" w:cs="Arial" w:eastAsia="Arial" w:hAnsi="Arial"/>
          <w:sz w:val="20"/>
          <w:szCs w:val="20"/>
          <w:color w:val="3B3B3B"/>
        </w:rPr>
        <w:t xml:space="preserve">Arch may terminate this Agreement upon written notice to Lenders Protection in the event that the SLB Agreement (as hereinafter defined) is terminated by Arch as a result of the Surplus Lines Broker's failure to remit payment associated with the Policy as required under the SLB </w:t>
      </w:r>
      <w:r>
        <w:rPr>
          <w:rFonts w:ascii="Arial" w:cs="Arial" w:eastAsia="Arial" w:hAnsi="Arial"/>
          <w:sz w:val="18"/>
          <w:szCs w:val="18"/>
          <w:color w:val="3B3B3B"/>
        </w:rPr>
        <w:t>Agreement;</w:t>
      </w:r>
      <w:r>
        <w:rPr>
          <w:rFonts w:ascii="Arial" w:cs="Arial" w:eastAsia="Arial" w:hAnsi="Arial"/>
          <w:sz w:val="20"/>
          <w:szCs w:val="20"/>
          <w:color w:val="3B3B3B"/>
        </w:rPr>
        <w:t xml:space="preserve"> </w:t>
      </w:r>
      <w:r>
        <w:rPr>
          <w:rFonts w:ascii="Arial" w:cs="Arial" w:eastAsia="Arial" w:hAnsi="Arial"/>
          <w:sz w:val="18"/>
          <w:szCs w:val="18"/>
          <w:u w:val="single" w:color="auto"/>
          <w:color w:val="3B3B3B"/>
        </w:rPr>
        <w:t>provided</w:t>
      </w:r>
      <w:r>
        <w:rPr>
          <w:rFonts w:ascii="Arial" w:cs="Arial" w:eastAsia="Arial" w:hAnsi="Arial"/>
          <w:sz w:val="18"/>
          <w:szCs w:val="18"/>
          <w:color w:val="3B3B3B"/>
        </w:rPr>
        <w:t>,</w:t>
      </w:r>
      <w:r>
        <w:rPr>
          <w:rFonts w:ascii="Arial" w:cs="Arial" w:eastAsia="Arial" w:hAnsi="Arial"/>
          <w:sz w:val="20"/>
          <w:szCs w:val="20"/>
          <w:color w:val="3B3B3B"/>
        </w:rPr>
        <w:t xml:space="preserve"> </w:t>
      </w:r>
      <w:r>
        <w:rPr>
          <w:rFonts w:ascii="Arial" w:cs="Arial" w:eastAsia="Arial" w:hAnsi="Arial"/>
          <w:sz w:val="18"/>
          <w:szCs w:val="18"/>
          <w:u w:val="single" w:color="auto"/>
          <w:color w:val="3B3B3B"/>
        </w:rPr>
        <w:t>however</w:t>
      </w:r>
      <w:r>
        <w:rPr>
          <w:rFonts w:ascii="Arial" w:cs="Arial" w:eastAsia="Arial" w:hAnsi="Arial"/>
          <w:sz w:val="18"/>
          <w:szCs w:val="18"/>
          <w:color w:val="3B3B3B"/>
        </w:rPr>
        <w:t>, that prior to such termination Arch agrees to work in good faith with</w:t>
      </w:r>
      <w:r>
        <w:rPr>
          <w:rFonts w:ascii="Arial" w:cs="Arial" w:eastAsia="Arial" w:hAnsi="Arial"/>
          <w:sz w:val="20"/>
          <w:szCs w:val="20"/>
          <w:color w:val="3B3B3B"/>
        </w:rPr>
        <w:t xml:space="preserve"> </w:t>
      </w:r>
      <w:r>
        <w:rPr>
          <w:rFonts w:ascii="Arial" w:cs="Arial" w:eastAsia="Arial" w:hAnsi="Arial"/>
          <w:sz w:val="18"/>
          <w:szCs w:val="18"/>
          <w:color w:val="3B3B3B"/>
        </w:rPr>
        <w:t>the Surplus Lines Broker (and to involve Lenders Protection if it so requests to be involved) to (i) secure payment by Surplus Lines Broker for any such unpaid amounts within a timeframe reasonable to Arch and (ii) identify, and implement a reasonable plan, strategy or “work-around” to avoid any future interruptions caused by the Surplus Lines Broker's failure to remit payment;</w:t>
      </w:r>
    </w:p>
    <w:p>
      <w:pPr>
        <w:spacing w:after="0" w:line="189" w:lineRule="exact"/>
        <w:rPr>
          <w:rFonts w:ascii="Arial" w:cs="Arial" w:eastAsia="Arial" w:hAnsi="Arial"/>
          <w:sz w:val="20"/>
          <w:szCs w:val="20"/>
          <w:color w:val="3B3B3B"/>
        </w:rPr>
      </w:pPr>
    </w:p>
    <w:p>
      <w:pPr>
        <w:jc w:val="both"/>
        <w:ind w:firstLine="645"/>
        <w:spacing w:after="0" w:line="227" w:lineRule="auto"/>
        <w:tabs>
          <w:tab w:leader="none" w:pos="1199" w:val="left"/>
        </w:tabs>
        <w:numPr>
          <w:ilvl w:val="0"/>
          <w:numId w:val="12"/>
        </w:numPr>
        <w:rPr>
          <w:rFonts w:ascii="Arial" w:cs="Arial" w:eastAsia="Arial" w:hAnsi="Arial"/>
          <w:sz w:val="20"/>
          <w:szCs w:val="20"/>
          <w:color w:val="3C3C3C"/>
        </w:rPr>
      </w:pPr>
      <w:r>
        <w:rPr>
          <w:rFonts w:ascii="Arial" w:cs="Arial" w:eastAsia="Arial" w:hAnsi="Arial"/>
          <w:sz w:val="20"/>
          <w:szCs w:val="20"/>
          <w:color w:val="3C3C3C"/>
        </w:rPr>
        <w:t xml:space="preserve">by Arch after [***] days' written notice of termination to Lenders Protection in the event of a breach by Lenders Protection of any material term of this Agreement; </w:t>
      </w:r>
      <w:r>
        <w:rPr>
          <w:rFonts w:ascii="Arial" w:cs="Arial" w:eastAsia="Arial" w:hAnsi="Arial"/>
          <w:sz w:val="20"/>
          <w:szCs w:val="20"/>
          <w:u w:val="single" w:color="auto"/>
          <w:color w:val="3C3C3C"/>
        </w:rPr>
        <w:t>provided</w:t>
      </w:r>
      <w:r>
        <w:rPr>
          <w:rFonts w:ascii="Arial" w:cs="Arial" w:eastAsia="Arial" w:hAnsi="Arial"/>
          <w:sz w:val="20"/>
          <w:szCs w:val="20"/>
          <w:color w:val="3C3C3C"/>
        </w:rPr>
        <w:t xml:space="preserve">, </w:t>
      </w:r>
      <w:r>
        <w:rPr>
          <w:rFonts w:ascii="Arial" w:cs="Arial" w:eastAsia="Arial" w:hAnsi="Arial"/>
          <w:sz w:val="20"/>
          <w:szCs w:val="20"/>
          <w:u w:val="single" w:color="auto"/>
          <w:color w:val="3C3C3C"/>
        </w:rPr>
        <w:t>however</w:t>
      </w:r>
      <w:r>
        <w:rPr>
          <w:rFonts w:ascii="Arial" w:cs="Arial" w:eastAsia="Arial" w:hAnsi="Arial"/>
          <w:sz w:val="20"/>
          <w:szCs w:val="20"/>
          <w:color w:val="3C3C3C"/>
        </w:rPr>
        <w:t>, Lenders Protection shall have the right to cure such breach within [***] days after Arch's delivery of such written notice. The Parties agree that if Lenders Protection reasonably cures such breach or default, Arch's notice of termination shall be deemed withdrawn and be of no further force or effect;</w:t>
      </w:r>
    </w:p>
    <w:p>
      <w:pPr>
        <w:spacing w:after="0" w:line="182" w:lineRule="exact"/>
        <w:rPr>
          <w:rFonts w:ascii="Arial" w:cs="Arial" w:eastAsia="Arial" w:hAnsi="Arial"/>
          <w:sz w:val="20"/>
          <w:szCs w:val="20"/>
          <w:color w:val="3C3C3C"/>
        </w:rPr>
      </w:pPr>
    </w:p>
    <w:p>
      <w:pPr>
        <w:jc w:val="both"/>
        <w:ind w:firstLine="645"/>
        <w:spacing w:after="0" w:line="239" w:lineRule="auto"/>
        <w:tabs>
          <w:tab w:leader="none" w:pos="1201" w:val="left"/>
        </w:tabs>
        <w:numPr>
          <w:ilvl w:val="0"/>
          <w:numId w:val="12"/>
        </w:numPr>
        <w:rPr>
          <w:rFonts w:ascii="Arial" w:cs="Arial" w:eastAsia="Arial" w:hAnsi="Arial"/>
          <w:sz w:val="19"/>
          <w:szCs w:val="19"/>
          <w:color w:val="3C3C3C"/>
        </w:rPr>
      </w:pPr>
      <w:r>
        <w:rPr>
          <w:rFonts w:ascii="Arial" w:cs="Arial" w:eastAsia="Arial" w:hAnsi="Arial"/>
          <w:sz w:val="19"/>
          <w:szCs w:val="19"/>
          <w:color w:val="3C3C3C"/>
        </w:rPr>
        <w:t xml:space="preserve">by Lenders Protection after [***] days' written notice of termination to Arch in the event of default or breach by Arch of any material term of this Agreement; </w:t>
      </w:r>
      <w:r>
        <w:rPr>
          <w:rFonts w:ascii="Arial" w:cs="Arial" w:eastAsia="Arial" w:hAnsi="Arial"/>
          <w:sz w:val="19"/>
          <w:szCs w:val="19"/>
          <w:u w:val="single" w:color="auto"/>
          <w:color w:val="3C3C3C"/>
        </w:rPr>
        <w:t>provided</w:t>
      </w:r>
      <w:r>
        <w:rPr>
          <w:rFonts w:ascii="Arial" w:cs="Arial" w:eastAsia="Arial" w:hAnsi="Arial"/>
          <w:sz w:val="19"/>
          <w:szCs w:val="19"/>
          <w:color w:val="3C3C3C"/>
        </w:rPr>
        <w:t xml:space="preserve">, </w:t>
      </w:r>
      <w:r>
        <w:rPr>
          <w:rFonts w:ascii="Arial" w:cs="Arial" w:eastAsia="Arial" w:hAnsi="Arial"/>
          <w:sz w:val="19"/>
          <w:szCs w:val="19"/>
          <w:u w:val="single" w:color="auto"/>
          <w:color w:val="3C3C3C"/>
        </w:rPr>
        <w:t>however</w:t>
      </w:r>
      <w:r>
        <w:rPr>
          <w:rFonts w:ascii="Arial" w:cs="Arial" w:eastAsia="Arial" w:hAnsi="Arial"/>
          <w:sz w:val="19"/>
          <w:szCs w:val="19"/>
          <w:color w:val="3C3C3C"/>
        </w:rPr>
        <w:t>, Arch shall have the right to cure such breach or default within [***] days after Lenders Protection's delivery of such written notice. The Parties agree that if Arch reasonably cures such breach or default Lenders Protection's notice of termination shall be deemed withdrawn and be of no further force or effect;</w:t>
      </w:r>
    </w:p>
    <w:p>
      <w:pPr>
        <w:spacing w:after="0" w:line="182" w:lineRule="exact"/>
        <w:rPr>
          <w:rFonts w:ascii="Arial" w:cs="Arial" w:eastAsia="Arial" w:hAnsi="Arial"/>
          <w:sz w:val="19"/>
          <w:szCs w:val="19"/>
          <w:color w:val="3C3C3C"/>
        </w:rPr>
      </w:pPr>
    </w:p>
    <w:p>
      <w:pPr>
        <w:jc w:val="both"/>
        <w:ind w:firstLine="645"/>
        <w:spacing w:after="0" w:line="221" w:lineRule="auto"/>
        <w:tabs>
          <w:tab w:leader="none" w:pos="1205" w:val="left"/>
        </w:tabs>
        <w:numPr>
          <w:ilvl w:val="0"/>
          <w:numId w:val="12"/>
        </w:numPr>
        <w:rPr>
          <w:rFonts w:ascii="Arial" w:cs="Arial" w:eastAsia="Arial" w:hAnsi="Arial"/>
          <w:sz w:val="21"/>
          <w:szCs w:val="21"/>
          <w:color w:val="3C3C3C"/>
        </w:rPr>
      </w:pPr>
      <w:r>
        <w:rPr>
          <w:rFonts w:ascii="Arial" w:cs="Arial" w:eastAsia="Arial" w:hAnsi="Arial"/>
          <w:sz w:val="21"/>
          <w:szCs w:val="21"/>
          <w:color w:val="3C3C3C"/>
        </w:rPr>
        <w:t>by Lenders Protection to Arch after [***] days' of written notice of termination if any Problematic Change of Control of Arch occurs without Arch's receipt of Lenders Protection's prior written approval, which shall not be unreasonably withheld, conditioned or delayed;</w:t>
      </w:r>
    </w:p>
    <w:p>
      <w:pPr>
        <w:spacing w:after="0" w:line="183" w:lineRule="exact"/>
        <w:rPr>
          <w:rFonts w:ascii="Arial" w:cs="Arial" w:eastAsia="Arial" w:hAnsi="Arial"/>
          <w:sz w:val="21"/>
          <w:szCs w:val="21"/>
          <w:color w:val="3C3C3C"/>
        </w:rPr>
      </w:pPr>
    </w:p>
    <w:p>
      <w:pPr>
        <w:ind w:firstLine="645"/>
        <w:spacing w:after="0" w:line="232" w:lineRule="auto"/>
        <w:tabs>
          <w:tab w:leader="none" w:pos="1199" w:val="left"/>
        </w:tabs>
        <w:numPr>
          <w:ilvl w:val="0"/>
          <w:numId w:val="12"/>
        </w:numPr>
        <w:rPr>
          <w:rFonts w:ascii="Arial" w:cs="Arial" w:eastAsia="Arial" w:hAnsi="Arial"/>
          <w:sz w:val="21"/>
          <w:szCs w:val="21"/>
          <w:color w:val="3C3C3C"/>
        </w:rPr>
      </w:pPr>
      <w:r>
        <w:rPr>
          <w:rFonts w:ascii="Arial" w:cs="Arial" w:eastAsia="Arial" w:hAnsi="Arial"/>
          <w:sz w:val="21"/>
          <w:szCs w:val="21"/>
          <w:color w:val="3C3C3C"/>
        </w:rPr>
        <w:t>by Arch after [***] days' written notice of termination to Lenders Protection if any Problematic Change of Control of Lenders Protection occurs, which shall not be unreasonably withheld, conditioned or delayed;</w:t>
      </w:r>
    </w:p>
    <w:p>
      <w:pPr>
        <w:spacing w:after="0" w:line="194" w:lineRule="exact"/>
        <w:rPr>
          <w:rFonts w:ascii="Arial" w:cs="Arial" w:eastAsia="Arial" w:hAnsi="Arial"/>
          <w:sz w:val="21"/>
          <w:szCs w:val="21"/>
          <w:color w:val="3C3C3C"/>
        </w:rPr>
      </w:pPr>
    </w:p>
    <w:p>
      <w:pPr>
        <w:jc w:val="both"/>
        <w:ind w:firstLine="645"/>
        <w:spacing w:after="0" w:line="213" w:lineRule="auto"/>
        <w:tabs>
          <w:tab w:leader="none" w:pos="1199" w:val="left"/>
        </w:tabs>
        <w:numPr>
          <w:ilvl w:val="0"/>
          <w:numId w:val="12"/>
        </w:numPr>
        <w:rPr>
          <w:rFonts w:ascii="Arial" w:cs="Arial" w:eastAsia="Arial" w:hAnsi="Arial"/>
          <w:sz w:val="21"/>
          <w:szCs w:val="21"/>
          <w:color w:val="3C3C3C"/>
        </w:rPr>
      </w:pPr>
      <w:r>
        <w:rPr>
          <w:rFonts w:ascii="Arial" w:cs="Arial" w:eastAsia="Arial" w:hAnsi="Arial"/>
          <w:sz w:val="21"/>
          <w:szCs w:val="21"/>
          <w:color w:val="3C3C3C"/>
        </w:rPr>
        <w:t>immediately by Arch or Lenders Protection with respect to any jurisdiction if a Governmental Authority in such jurisdiction finds the Policies to be unenforceable, in whole or in part or otherwise prohibits either Party from providing any of the material services required under this Agreement, and such default, if curable, is not cured within [***] days following notice of such occurrence. Notwithstanding the foregoing, the Parties shall adhere to any Governmental Authority's requirements with regard to the offering of such Policies in the affected jurisdictions;</w:t>
      </w:r>
    </w:p>
    <w:p>
      <w:pPr>
        <w:spacing w:after="0" w:line="183" w:lineRule="exact"/>
        <w:rPr>
          <w:rFonts w:ascii="Arial" w:cs="Arial" w:eastAsia="Arial" w:hAnsi="Arial"/>
          <w:sz w:val="21"/>
          <w:szCs w:val="21"/>
          <w:color w:val="3C3C3C"/>
        </w:rPr>
      </w:pPr>
    </w:p>
    <w:p>
      <w:pPr>
        <w:ind w:firstLine="645"/>
        <w:spacing w:after="0" w:line="216" w:lineRule="auto"/>
        <w:tabs>
          <w:tab w:leader="none" w:pos="1193" w:val="left"/>
        </w:tabs>
        <w:numPr>
          <w:ilvl w:val="0"/>
          <w:numId w:val="12"/>
        </w:numPr>
        <w:rPr>
          <w:rFonts w:ascii="Arial" w:cs="Arial" w:eastAsia="Arial" w:hAnsi="Arial"/>
          <w:sz w:val="21"/>
          <w:szCs w:val="21"/>
          <w:color w:val="3C3C3C"/>
        </w:rPr>
      </w:pPr>
      <w:r>
        <w:rPr>
          <w:rFonts w:ascii="Arial" w:cs="Arial" w:eastAsia="Arial" w:hAnsi="Arial"/>
          <w:sz w:val="21"/>
          <w:szCs w:val="21"/>
          <w:color w:val="3C3C3C"/>
        </w:rPr>
        <w:t>by Lenders Protection, upon notice, in the event that any Insurer actively issuing the Policies (as assigned by Arch) as of the date of measurement, shall fail to maintain an “A-” or better</w:t>
      </w:r>
    </w:p>
    <w:p>
      <w:pPr>
        <w:spacing w:after="0" w:line="1" w:lineRule="exact"/>
        <w:rPr>
          <w:rFonts w:ascii="Arial" w:cs="Arial" w:eastAsia="Arial" w:hAnsi="Arial"/>
          <w:sz w:val="21"/>
          <w:szCs w:val="21"/>
          <w:color w:val="3C3C3C"/>
        </w:rPr>
      </w:pPr>
    </w:p>
    <w:p>
      <w:pPr>
        <w:spacing w:after="0"/>
        <w:rPr>
          <w:rFonts w:ascii="Arial" w:cs="Arial" w:eastAsia="Arial" w:hAnsi="Arial"/>
          <w:sz w:val="21"/>
          <w:szCs w:val="21"/>
          <w:color w:val="3C3C3C"/>
        </w:rPr>
      </w:pPr>
      <w:r>
        <w:rPr>
          <w:rFonts w:ascii="Arial" w:cs="Arial" w:eastAsia="Arial" w:hAnsi="Arial"/>
          <w:sz w:val="21"/>
          <w:szCs w:val="21"/>
          <w:color w:val="3C3C3C"/>
        </w:rPr>
        <w:t>A.M. Best rating;</w:t>
      </w:r>
    </w:p>
    <w:p>
      <w:pPr>
        <w:spacing w:after="0" w:line="199" w:lineRule="exact"/>
        <w:rPr>
          <w:rFonts w:ascii="Arial" w:cs="Arial" w:eastAsia="Arial" w:hAnsi="Arial"/>
          <w:sz w:val="21"/>
          <w:szCs w:val="21"/>
          <w:color w:val="3C3C3C"/>
        </w:rPr>
      </w:pPr>
    </w:p>
    <w:p>
      <w:pPr>
        <w:ind w:left="1200" w:hanging="555"/>
        <w:spacing w:after="0"/>
        <w:tabs>
          <w:tab w:leader="none" w:pos="1200" w:val="left"/>
        </w:tabs>
        <w:numPr>
          <w:ilvl w:val="0"/>
          <w:numId w:val="12"/>
        </w:numPr>
        <w:rPr>
          <w:rFonts w:ascii="Arial" w:cs="Arial" w:eastAsia="Arial" w:hAnsi="Arial"/>
          <w:sz w:val="20"/>
          <w:szCs w:val="20"/>
          <w:color w:val="3C3C3C"/>
        </w:rPr>
      </w:pPr>
      <w:r>
        <w:rPr>
          <w:rFonts w:ascii="Arial" w:cs="Arial" w:eastAsia="Arial" w:hAnsi="Arial"/>
          <w:sz w:val="20"/>
          <w:szCs w:val="20"/>
          <w:color w:val="3C3C3C"/>
        </w:rPr>
        <w:t xml:space="preserve">by Lenders Protection or Arch, as applicable and upon notice, in accordance with </w:t>
      </w:r>
      <w:r>
        <w:rPr>
          <w:rFonts w:ascii="Arial" w:cs="Arial" w:eastAsia="Arial" w:hAnsi="Arial"/>
          <w:sz w:val="20"/>
          <w:szCs w:val="20"/>
          <w:u w:val="single" w:color="auto"/>
          <w:color w:val="3C3C3C"/>
        </w:rPr>
        <w:t>Section 3.1</w:t>
      </w:r>
      <w:r>
        <w:rPr>
          <w:rFonts w:ascii="Arial" w:cs="Arial" w:eastAsia="Arial" w:hAnsi="Arial"/>
          <w:sz w:val="20"/>
          <w:szCs w:val="20"/>
          <w:color w:val="3C3C3C"/>
        </w:rPr>
        <w:t xml:space="preserve"> or </w:t>
      </w:r>
      <w:r>
        <w:rPr>
          <w:rFonts w:ascii="Arial" w:cs="Arial" w:eastAsia="Arial" w:hAnsi="Arial"/>
          <w:sz w:val="20"/>
          <w:szCs w:val="20"/>
          <w:u w:val="single" w:color="auto"/>
          <w:color w:val="3C3C3C"/>
        </w:rPr>
        <w:t>Section 5.5</w:t>
      </w:r>
      <w:r>
        <w:rPr>
          <w:rFonts w:ascii="Arial" w:cs="Arial" w:eastAsia="Arial" w:hAnsi="Arial"/>
          <w:sz w:val="20"/>
          <w:szCs w:val="20"/>
          <w:color w:val="3C3C3C"/>
        </w:rPr>
        <w:t>;</w:t>
      </w:r>
    </w:p>
    <w:p>
      <w:pPr>
        <w:spacing w:after="0" w:line="296" w:lineRule="exact"/>
        <w:rPr>
          <w:rFonts w:ascii="Arial" w:cs="Arial" w:eastAsia="Arial" w:hAnsi="Arial"/>
          <w:sz w:val="20"/>
          <w:szCs w:val="20"/>
          <w:color w:val="3C3C3C"/>
        </w:rPr>
      </w:pPr>
    </w:p>
    <w:p>
      <w:pPr>
        <w:ind w:left="1200" w:hanging="555"/>
        <w:spacing w:after="0"/>
        <w:tabs>
          <w:tab w:leader="none" w:pos="1200" w:val="left"/>
        </w:tabs>
        <w:numPr>
          <w:ilvl w:val="0"/>
          <w:numId w:val="12"/>
        </w:numPr>
        <w:rPr>
          <w:rFonts w:ascii="Arial" w:cs="Arial" w:eastAsia="Arial" w:hAnsi="Arial"/>
          <w:sz w:val="20"/>
          <w:szCs w:val="20"/>
          <w:color w:val="3C3C3C"/>
        </w:rPr>
      </w:pPr>
      <w:r>
        <w:rPr>
          <w:rFonts w:ascii="Arial" w:cs="Arial" w:eastAsia="Arial" w:hAnsi="Arial"/>
          <w:sz w:val="20"/>
          <w:szCs w:val="20"/>
          <w:color w:val="3C3C3C"/>
        </w:rPr>
        <w:t>by Lenders Protection, upon notice, at any time after Arch has breached Arch's Non- Competition Commitment;</w:t>
      </w:r>
    </w:p>
    <w:p>
      <w:pPr>
        <w:spacing w:after="0" w:line="215" w:lineRule="exact"/>
        <w:rPr>
          <w:rFonts w:ascii="Arial" w:cs="Arial" w:eastAsia="Arial" w:hAnsi="Arial"/>
          <w:sz w:val="20"/>
          <w:szCs w:val="20"/>
          <w:color w:val="3C3C3C"/>
        </w:rPr>
      </w:pPr>
    </w:p>
    <w:p>
      <w:pPr>
        <w:ind w:right="120" w:firstLine="645"/>
        <w:spacing w:after="0" w:line="232" w:lineRule="auto"/>
        <w:tabs>
          <w:tab w:leader="none" w:pos="1193" w:val="left"/>
        </w:tabs>
        <w:numPr>
          <w:ilvl w:val="0"/>
          <w:numId w:val="12"/>
        </w:numPr>
        <w:rPr>
          <w:rFonts w:ascii="Arial" w:cs="Arial" w:eastAsia="Arial" w:hAnsi="Arial"/>
          <w:sz w:val="21"/>
          <w:szCs w:val="21"/>
          <w:color w:val="3C3C3C"/>
        </w:rPr>
      </w:pPr>
      <w:r>
        <w:rPr>
          <w:rFonts w:ascii="Arial" w:cs="Arial" w:eastAsia="Arial" w:hAnsi="Arial"/>
          <w:sz w:val="21"/>
          <w:szCs w:val="21"/>
          <w:color w:val="3C3C3C"/>
        </w:rPr>
        <w:t>Immediately by Arch or Lenders Protection in the event of fraud or willful misconduct on the part of such other party related to obligations arising from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3</w:t>
      </w:r>
    </w:p>
    <w:p>
      <w:pPr>
        <w:sectPr>
          <w:pgSz w:w="11900" w:h="16838" w:orient="portrait"/>
          <w:cols w:equalWidth="0" w:num="1">
            <w:col w:w="11040"/>
          </w:cols>
          <w:pgMar w:left="420" w:top="1314" w:right="439" w:bottom="1440" w:gutter="0" w:footer="0" w:header="0"/>
        </w:sectPr>
      </w:pPr>
    </w:p>
    <w:bookmarkStart w:id="36" w:name="page37"/>
    <w:bookmarkEnd w:id="36"/>
    <w:p>
      <w:pPr>
        <w:ind w:left="1200" w:hanging="555"/>
        <w:spacing w:after="0"/>
        <w:tabs>
          <w:tab w:leader="none" w:pos="1200" w:val="left"/>
        </w:tabs>
        <w:numPr>
          <w:ilvl w:val="0"/>
          <w:numId w:val="13"/>
        </w:numPr>
        <w:rPr>
          <w:rFonts w:ascii="Arial" w:cs="Arial" w:eastAsia="Arial" w:hAnsi="Arial"/>
          <w:sz w:val="20"/>
          <w:szCs w:val="20"/>
          <w:color w:val="3C3C3C"/>
        </w:rPr>
      </w:pPr>
      <w:r>
        <w:rPr>
          <w:rFonts w:ascii="Arial" w:cs="Arial" w:eastAsia="Arial" w:hAnsi="Arial"/>
          <w:sz w:val="20"/>
          <w:szCs w:val="20"/>
          <w:color w:val="3C3C3C"/>
        </w:rPr>
        <w:t>by Lenders Protection, upon notice, at any time after Arch tenders notice of its intent to Compete with Lenders</w:t>
      </w:r>
    </w:p>
    <w:p>
      <w:pPr>
        <w:spacing w:after="0"/>
        <w:rPr>
          <w:rFonts w:ascii="Arial" w:cs="Arial" w:eastAsia="Arial" w:hAnsi="Arial"/>
          <w:sz w:val="20"/>
          <w:szCs w:val="20"/>
          <w:color w:val="3C3C3C"/>
        </w:rPr>
      </w:pPr>
      <w:r>
        <w:rPr>
          <w:rFonts w:ascii="Arial" w:cs="Arial" w:eastAsia="Arial" w:hAnsi="Arial"/>
          <w:sz w:val="21"/>
          <w:szCs w:val="21"/>
          <w:color w:val="3C3C3C"/>
        </w:rPr>
        <w:t>Protection.</w:t>
      </w:r>
    </w:p>
    <w:p>
      <w:pPr>
        <w:spacing w:after="0" w:line="261" w:lineRule="exact"/>
        <w:rPr>
          <w:sz w:val="20"/>
          <w:szCs w:val="20"/>
          <w:color w:val="auto"/>
        </w:rPr>
      </w:pPr>
    </w:p>
    <w:p>
      <w:pPr>
        <w:spacing w:after="0"/>
        <w:tabs>
          <w:tab w:leader="none" w:pos="1140" w:val="left"/>
        </w:tabs>
        <w:rPr>
          <w:sz w:val="20"/>
          <w:szCs w:val="20"/>
          <w:color w:val="auto"/>
        </w:rPr>
      </w:pPr>
      <w:r>
        <w:rPr>
          <w:rFonts w:ascii="Arial" w:cs="Arial" w:eastAsia="Arial" w:hAnsi="Arial"/>
          <w:sz w:val="21"/>
          <w:szCs w:val="21"/>
          <w:b w:val="1"/>
          <w:bCs w:val="1"/>
          <w:color w:val="3C3C3C"/>
        </w:rPr>
        <w:t>Section 2.3</w:t>
      </w:r>
      <w:r>
        <w:rPr>
          <w:sz w:val="20"/>
          <w:szCs w:val="20"/>
          <w:color w:val="auto"/>
        </w:rPr>
        <w:tab/>
      </w:r>
      <w:r>
        <w:rPr>
          <w:rFonts w:ascii="Arial" w:cs="Arial" w:eastAsia="Arial" w:hAnsi="Arial"/>
          <w:sz w:val="19"/>
          <w:szCs w:val="19"/>
          <w:b w:val="1"/>
          <w:bCs w:val="1"/>
          <w:u w:val="single" w:color="auto"/>
          <w:color w:val="3C3C3C"/>
        </w:rPr>
        <w:t>Conduct After Termination</w:t>
      </w:r>
      <w:r>
        <w:rPr>
          <w:rFonts w:ascii="Arial" w:cs="Arial" w:eastAsia="Arial" w:hAnsi="Arial"/>
          <w:sz w:val="19"/>
          <w:szCs w:val="19"/>
          <w:b w:val="1"/>
          <w:bCs w:val="1"/>
          <w:color w:val="3C3C3C"/>
        </w:rPr>
        <w:t>.</w:t>
      </w:r>
      <w:r>
        <w:rPr>
          <w:rFonts w:ascii="Arial" w:cs="Arial" w:eastAsia="Arial" w:hAnsi="Arial"/>
          <w:sz w:val="19"/>
          <w:szCs w:val="19"/>
          <w:b w:val="1"/>
          <w:bCs w:val="1"/>
          <w:u w:val="single" w:color="auto"/>
          <w:color w:val="3C3C3C"/>
        </w:rPr>
        <w:t xml:space="preserve"> </w:t>
      </w:r>
      <w:r>
        <w:rPr>
          <w:rFonts w:ascii="Arial" w:cs="Arial" w:eastAsia="Arial" w:hAnsi="Arial"/>
          <w:sz w:val="19"/>
          <w:szCs w:val="19"/>
          <w:color w:val="3C3C3C"/>
        </w:rPr>
        <w:t>Upon any termination or expiration of this Agreement:</w:t>
      </w:r>
    </w:p>
    <w:p>
      <w:pPr>
        <w:spacing w:after="0" w:line="305" w:lineRule="exact"/>
        <w:rPr>
          <w:sz w:val="20"/>
          <w:szCs w:val="20"/>
          <w:color w:val="auto"/>
        </w:rPr>
      </w:pPr>
    </w:p>
    <w:p>
      <w:pPr>
        <w:jc w:val="both"/>
        <w:ind w:firstLine="645"/>
        <w:spacing w:after="0" w:line="227" w:lineRule="auto"/>
        <w:tabs>
          <w:tab w:leader="none" w:pos="1201" w:val="left"/>
        </w:tabs>
        <w:numPr>
          <w:ilvl w:val="0"/>
          <w:numId w:val="14"/>
        </w:numPr>
        <w:rPr>
          <w:rFonts w:ascii="Arial" w:cs="Arial" w:eastAsia="Arial" w:hAnsi="Arial"/>
          <w:sz w:val="20"/>
          <w:szCs w:val="20"/>
          <w:color w:val="3C3C3C"/>
        </w:rPr>
      </w:pPr>
      <w:r>
        <w:rPr>
          <w:rFonts w:ascii="Arial" w:cs="Arial" w:eastAsia="Arial" w:hAnsi="Arial"/>
          <w:sz w:val="20"/>
          <w:szCs w:val="20"/>
          <w:color w:val="3C3C3C"/>
        </w:rPr>
        <w:t>Except as otherwise expressly provided herein, Arch and Lenders Protection shall not be relieved of or released from any obligation created by or under this Agreement before the termination date of this Agreement. The Parties hereto expressly covenant and agree that they shall cooperate, in good faith, with each other in the handling of all Claims until the end of the current term of all Policies and likewise until all scheduled loans for each Policy have expired.</w:t>
      </w:r>
    </w:p>
    <w:p>
      <w:pPr>
        <w:spacing w:after="0" w:line="182" w:lineRule="exact"/>
        <w:rPr>
          <w:rFonts w:ascii="Arial" w:cs="Arial" w:eastAsia="Arial" w:hAnsi="Arial"/>
          <w:sz w:val="20"/>
          <w:szCs w:val="20"/>
          <w:color w:val="3C3C3C"/>
        </w:rPr>
      </w:pPr>
    </w:p>
    <w:p>
      <w:pPr>
        <w:jc w:val="both"/>
        <w:ind w:firstLine="645"/>
        <w:spacing w:after="0" w:line="222" w:lineRule="auto"/>
        <w:tabs>
          <w:tab w:leader="none" w:pos="1199" w:val="left"/>
        </w:tabs>
        <w:numPr>
          <w:ilvl w:val="0"/>
          <w:numId w:val="14"/>
        </w:numPr>
        <w:rPr>
          <w:rFonts w:ascii="Arial" w:cs="Arial" w:eastAsia="Arial" w:hAnsi="Arial"/>
          <w:sz w:val="20"/>
          <w:szCs w:val="20"/>
          <w:color w:val="3C3C3C"/>
        </w:rPr>
      </w:pPr>
      <w:r>
        <w:rPr>
          <w:rFonts w:ascii="Arial" w:cs="Arial" w:eastAsia="Arial" w:hAnsi="Arial"/>
          <w:sz w:val="20"/>
          <w:szCs w:val="20"/>
          <w:color w:val="3C3C3C"/>
        </w:rPr>
        <w:t>Upon termination or expiration of this Agreement, Lenders Protection shall not facilitate the placement of new loans to Arch through the Program. Additionally, upon termination or expiration of this Agreement, Lenders Protection shall take all reasonable action to prevent financial institutions from accessing the Software Platform for purposes of submitting new business relating to the issuance of a Policy pursuant to the Program with Arch. For purposes of establishing absolute clarity, Lenders Protection shall, at all times, be permitted to allow financial institutions to access the Software Platform for purposes of submitting new business relating to the issuance of Additional Carrier Policies pursuant to the Program.</w:t>
      </w:r>
    </w:p>
    <w:p>
      <w:pPr>
        <w:spacing w:after="0" w:line="181" w:lineRule="exact"/>
        <w:rPr>
          <w:rFonts w:ascii="Arial" w:cs="Arial" w:eastAsia="Arial" w:hAnsi="Arial"/>
          <w:sz w:val="20"/>
          <w:szCs w:val="20"/>
          <w:color w:val="3C3C3C"/>
        </w:rPr>
      </w:pPr>
    </w:p>
    <w:p>
      <w:pPr>
        <w:jc w:val="both"/>
        <w:ind w:firstLine="645"/>
        <w:spacing w:after="0" w:line="219" w:lineRule="auto"/>
        <w:tabs>
          <w:tab w:leader="none" w:pos="1201" w:val="left"/>
        </w:tabs>
        <w:numPr>
          <w:ilvl w:val="0"/>
          <w:numId w:val="14"/>
        </w:numPr>
        <w:rPr>
          <w:rFonts w:ascii="Arial" w:cs="Arial" w:eastAsia="Arial" w:hAnsi="Arial"/>
          <w:sz w:val="20"/>
          <w:szCs w:val="20"/>
          <w:color w:val="3C3C3C"/>
        </w:rPr>
      </w:pPr>
      <w:r>
        <w:rPr>
          <w:rFonts w:ascii="Arial" w:cs="Arial" w:eastAsia="Arial" w:hAnsi="Arial"/>
          <w:sz w:val="20"/>
          <w:szCs w:val="20"/>
          <w:color w:val="3C3C3C"/>
        </w:rPr>
        <w:t>In the event this Agreement is terminated or expired, Arch shall work in good faith following such termination or expiration date (and shall cause all applicable Insurers to work in good faith) with Lenders Protection and third parties identified by Lenders Protection in connection with the maintenance, support and continuation of the Program (the “</w:t>
      </w:r>
      <w:r>
        <w:rPr>
          <w:rFonts w:ascii="Arial" w:cs="Arial" w:eastAsia="Arial" w:hAnsi="Arial"/>
          <w:sz w:val="20"/>
          <w:szCs w:val="20"/>
          <w:u w:val="single" w:color="auto"/>
          <w:color w:val="3C3C3C"/>
        </w:rPr>
        <w:t>Post-Termination Support</w:t>
      </w:r>
      <w:r>
        <w:rPr>
          <w:rFonts w:ascii="Arial" w:cs="Arial" w:eastAsia="Arial" w:hAnsi="Arial"/>
          <w:sz w:val="20"/>
          <w:szCs w:val="20"/>
          <w:color w:val="3C3C3C"/>
        </w:rPr>
        <w:t xml:space="preserve">”), including but not limited to promptly delivering any and all Run-Off Data requested by Lenders Protection; </w:t>
      </w:r>
      <w:r>
        <w:rPr>
          <w:rFonts w:ascii="Arial" w:cs="Arial" w:eastAsia="Arial" w:hAnsi="Arial"/>
          <w:sz w:val="20"/>
          <w:szCs w:val="20"/>
          <w:u w:val="single" w:color="auto"/>
          <w:color w:val="3C3C3C"/>
        </w:rPr>
        <w:t>provided</w:t>
      </w:r>
      <w:r>
        <w:rPr>
          <w:rFonts w:ascii="Arial" w:cs="Arial" w:eastAsia="Arial" w:hAnsi="Arial"/>
          <w:sz w:val="20"/>
          <w:szCs w:val="20"/>
          <w:color w:val="3C3C3C"/>
        </w:rPr>
        <w:t xml:space="preserve">, </w:t>
      </w:r>
      <w:r>
        <w:rPr>
          <w:rFonts w:ascii="Arial" w:cs="Arial" w:eastAsia="Arial" w:hAnsi="Arial"/>
          <w:sz w:val="20"/>
          <w:szCs w:val="20"/>
          <w:u w:val="single" w:color="auto"/>
          <w:color w:val="3C3C3C"/>
        </w:rPr>
        <w:t>however</w:t>
      </w:r>
      <w:r>
        <w:rPr>
          <w:rFonts w:ascii="Arial" w:cs="Arial" w:eastAsia="Arial" w:hAnsi="Arial"/>
          <w:sz w:val="20"/>
          <w:szCs w:val="20"/>
          <w:i w:val="1"/>
          <w:iCs w:val="1"/>
          <w:color w:val="3C3C3C"/>
        </w:rPr>
        <w:t>,</w:t>
      </w:r>
      <w:r>
        <w:rPr>
          <w:rFonts w:ascii="Arial" w:cs="Arial" w:eastAsia="Arial" w:hAnsi="Arial"/>
          <w:sz w:val="20"/>
          <w:szCs w:val="20"/>
          <w:color w:val="3C3C3C"/>
        </w:rPr>
        <w:t xml:space="preserve"> such Run-Off Data shall only be required to be delivered in such manner and at such times as similar data delivered during the Term hereof. The Parties hereto acknowledge and agree that the purpose and objective of such Post-Termination Support shall be to ensure that the business of Lenders Protection (and the Program offered hereby) continues with the least amount of delay, interference, cost, disruption or other operational inefficiency.</w:t>
      </w:r>
    </w:p>
    <w:p>
      <w:pPr>
        <w:spacing w:after="0" w:line="192"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3C3C3C"/>
        </w:rPr>
        <w:t>ARTICLE 3</w:t>
      </w:r>
    </w:p>
    <w:p>
      <w:pPr>
        <w:spacing w:after="0" w:line="204" w:lineRule="exact"/>
        <w:rPr>
          <w:sz w:val="20"/>
          <w:szCs w:val="20"/>
          <w:color w:val="auto"/>
        </w:rPr>
      </w:pPr>
    </w:p>
    <w:p>
      <w:pPr>
        <w:ind w:left="3520"/>
        <w:spacing w:after="0"/>
        <w:rPr>
          <w:sz w:val="20"/>
          <w:szCs w:val="20"/>
          <w:color w:val="auto"/>
        </w:rPr>
      </w:pPr>
      <w:r>
        <w:rPr>
          <w:rFonts w:ascii="Arial" w:cs="Arial" w:eastAsia="Arial" w:hAnsi="Arial"/>
          <w:sz w:val="21"/>
          <w:szCs w:val="21"/>
          <w:b w:val="1"/>
          <w:bCs w:val="1"/>
          <w:color w:val="3C3C3C"/>
        </w:rPr>
        <w:t>PROTECTION OF BUSINESS INTERESTS</w:t>
      </w:r>
    </w:p>
    <w:p>
      <w:pPr>
        <w:spacing w:after="0" w:line="218" w:lineRule="exact"/>
        <w:rPr>
          <w:sz w:val="20"/>
          <w:szCs w:val="20"/>
          <w:color w:val="auto"/>
        </w:rPr>
      </w:pPr>
    </w:p>
    <w:p>
      <w:pPr>
        <w:spacing w:after="0"/>
        <w:tabs>
          <w:tab w:leader="none" w:pos="1140" w:val="left"/>
        </w:tabs>
        <w:rPr>
          <w:sz w:val="20"/>
          <w:szCs w:val="20"/>
          <w:color w:val="auto"/>
        </w:rPr>
      </w:pPr>
      <w:r>
        <w:rPr>
          <w:rFonts w:ascii="Arial" w:cs="Arial" w:eastAsia="Arial" w:hAnsi="Arial"/>
          <w:sz w:val="21"/>
          <w:szCs w:val="21"/>
          <w:b w:val="1"/>
          <w:bCs w:val="1"/>
          <w:color w:val="3C3C3C"/>
        </w:rPr>
        <w:t>Section 3.1</w:t>
      </w:r>
      <w:r>
        <w:rPr>
          <w:sz w:val="20"/>
          <w:szCs w:val="20"/>
          <w:color w:val="auto"/>
        </w:rPr>
        <w:tab/>
      </w:r>
      <w:r>
        <w:rPr>
          <w:rFonts w:ascii="Arial" w:cs="Arial" w:eastAsia="Arial" w:hAnsi="Arial"/>
          <w:sz w:val="18"/>
          <w:szCs w:val="18"/>
          <w:b w:val="1"/>
          <w:bCs w:val="1"/>
          <w:u w:val="single" w:color="auto"/>
          <w:color w:val="3C3C3C"/>
        </w:rPr>
        <w:t>Protection of Lenders Protection</w:t>
      </w:r>
      <w:r>
        <w:rPr>
          <w:rFonts w:ascii="Arial" w:cs="Arial" w:eastAsia="Arial" w:hAnsi="Arial"/>
          <w:sz w:val="18"/>
          <w:szCs w:val="18"/>
          <w:color w:val="3C3C3C"/>
        </w:rPr>
        <w:t>.</w:t>
      </w:r>
    </w:p>
    <w:p>
      <w:pPr>
        <w:spacing w:after="0" w:line="291" w:lineRule="exact"/>
        <w:rPr>
          <w:sz w:val="20"/>
          <w:szCs w:val="20"/>
          <w:color w:val="auto"/>
        </w:rPr>
      </w:pPr>
    </w:p>
    <w:p>
      <w:pPr>
        <w:jc w:val="both"/>
        <w:ind w:firstLine="645"/>
        <w:spacing w:after="0" w:line="216" w:lineRule="auto"/>
        <w:tabs>
          <w:tab w:leader="none" w:pos="1201" w:val="left"/>
        </w:tabs>
        <w:numPr>
          <w:ilvl w:val="0"/>
          <w:numId w:val="15"/>
        </w:numPr>
        <w:rPr>
          <w:rFonts w:ascii="Arial" w:cs="Arial" w:eastAsia="Arial" w:hAnsi="Arial"/>
          <w:sz w:val="21"/>
          <w:szCs w:val="21"/>
          <w:color w:val="3C3C3C"/>
        </w:rPr>
      </w:pPr>
      <w:r>
        <w:rPr>
          <w:rFonts w:ascii="Arial" w:cs="Arial" w:eastAsia="Arial" w:hAnsi="Arial"/>
          <w:sz w:val="21"/>
          <w:szCs w:val="21"/>
          <w:color w:val="3C3C3C"/>
        </w:rPr>
        <w:t>Arch acknowledges and agrees that its ability to work with Lenders Protection (and its Affiliates) pursuant to the terms of this Agreement is significantly valuable to Arch (and its Affiliates) and, as a result, Arch agrees to make its relationship exclusive with Lenders Protection during the period beginning on the Effective Date and ending at the conclusion of the Additional Protection Period (such period is the “</w:t>
      </w:r>
      <w:r>
        <w:rPr>
          <w:rFonts w:ascii="Arial" w:cs="Arial" w:eastAsia="Arial" w:hAnsi="Arial"/>
          <w:sz w:val="21"/>
          <w:szCs w:val="21"/>
          <w:u w:val="single" w:color="auto"/>
          <w:color w:val="3C3C3C"/>
        </w:rPr>
        <w:t>Non-Compete Period</w:t>
      </w:r>
      <w:r>
        <w:rPr>
          <w:rFonts w:ascii="Arial" w:cs="Arial" w:eastAsia="Arial" w:hAnsi="Arial"/>
          <w:sz w:val="21"/>
          <w:szCs w:val="21"/>
          <w:color w:val="3C3C3C"/>
        </w:rPr>
        <w:t>”).</w:t>
      </w:r>
    </w:p>
    <w:p>
      <w:pPr>
        <w:spacing w:after="0" w:line="264" w:lineRule="exact"/>
        <w:rPr>
          <w:rFonts w:ascii="Arial" w:cs="Arial" w:eastAsia="Arial" w:hAnsi="Arial"/>
          <w:sz w:val="21"/>
          <w:szCs w:val="21"/>
          <w:color w:val="3C3C3C"/>
        </w:rPr>
      </w:pPr>
    </w:p>
    <w:p>
      <w:pPr>
        <w:jc w:val="both"/>
        <w:ind w:firstLine="645"/>
        <w:spacing w:after="0" w:line="224" w:lineRule="auto"/>
        <w:tabs>
          <w:tab w:leader="none" w:pos="1199" w:val="left"/>
        </w:tabs>
        <w:numPr>
          <w:ilvl w:val="0"/>
          <w:numId w:val="15"/>
        </w:numPr>
        <w:rPr>
          <w:rFonts w:ascii="Arial" w:cs="Arial" w:eastAsia="Arial" w:hAnsi="Arial"/>
          <w:sz w:val="20"/>
          <w:szCs w:val="20"/>
          <w:color w:val="3A3A3A"/>
        </w:rPr>
      </w:pPr>
      <w:r>
        <w:rPr>
          <w:rFonts w:ascii="Arial" w:cs="Arial" w:eastAsia="Arial" w:hAnsi="Arial"/>
          <w:sz w:val="20"/>
          <w:szCs w:val="20"/>
          <w:color w:val="3C3C3C"/>
        </w:rPr>
        <w:t>During the Non-Compete Period, Arch agrees subject to Section 3.1(e) below, (i) not to, directly or indirectly, provide or promote credit default insurance to any Directly Competitive Business of Lenders Protection (or to any Person that services a Directly Competitive Business of Lenders Protection) and (ii) not to directly or indirectly, otherwise Engage in a Directly Competitive Business of Lenders Protection without the prior written consent of Lenders Protection (collectively, the conduct set forth in the foregoing clauses (i) and (ii), “</w:t>
      </w:r>
      <w:r>
        <w:rPr>
          <w:rFonts w:ascii="Arial" w:cs="Arial" w:eastAsia="Arial" w:hAnsi="Arial"/>
          <w:sz w:val="20"/>
          <w:szCs w:val="20"/>
          <w:u w:val="single" w:color="auto"/>
          <w:color w:val="3C3C3C"/>
        </w:rPr>
        <w:t>Compete with Lenders Protection</w:t>
      </w:r>
      <w:r>
        <w:rPr>
          <w:rFonts w:ascii="Arial" w:cs="Arial" w:eastAsia="Arial" w:hAnsi="Arial"/>
          <w:sz w:val="20"/>
          <w:szCs w:val="20"/>
          <w:color w:val="3C3C3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 4</w:t>
      </w:r>
    </w:p>
    <w:p>
      <w:pPr>
        <w:sectPr>
          <w:pgSz w:w="11900" w:h="16838" w:orient="portrait"/>
          <w:cols w:equalWidth="0" w:num="1">
            <w:col w:w="11040"/>
          </w:cols>
          <w:pgMar w:left="420" w:top="1305" w:right="439" w:bottom="1440" w:gutter="0" w:footer="0" w:header="0"/>
        </w:sectPr>
      </w:pPr>
    </w:p>
    <w:bookmarkStart w:id="37" w:name="page38"/>
    <w:bookmarkEnd w:id="37"/>
    <w:p>
      <w:pPr>
        <w:jc w:val="both"/>
        <w:spacing w:after="0" w:line="210" w:lineRule="auto"/>
        <w:rPr>
          <w:sz w:val="20"/>
          <w:szCs w:val="20"/>
          <w:color w:val="auto"/>
        </w:rPr>
      </w:pPr>
      <w:r>
        <w:rPr>
          <w:rFonts w:ascii="Arial" w:cs="Arial" w:eastAsia="Arial" w:hAnsi="Arial"/>
          <w:sz w:val="21"/>
          <w:szCs w:val="21"/>
          <w:color w:val="3C3C3C"/>
        </w:rPr>
        <w:t xml:space="preserve">Notwithstanding the foregoing, the Parties agree that nothing contained in this </w:t>
      </w:r>
      <w:r>
        <w:rPr>
          <w:rFonts w:ascii="Arial" w:cs="Arial" w:eastAsia="Arial" w:hAnsi="Arial"/>
          <w:sz w:val="21"/>
          <w:szCs w:val="21"/>
          <w:u w:val="single" w:color="auto"/>
          <w:color w:val="3C3C3C"/>
        </w:rPr>
        <w:t>Section 3.1</w:t>
      </w:r>
      <w:r>
        <w:rPr>
          <w:rFonts w:ascii="Arial" w:cs="Arial" w:eastAsia="Arial" w:hAnsi="Arial"/>
          <w:sz w:val="21"/>
          <w:szCs w:val="21"/>
          <w:color w:val="3C3C3C"/>
        </w:rPr>
        <w:t xml:space="preserve"> shall preclude Arch from Acquiring, after the Effective Date hereof, an Indirectly Competitive Business as </w:t>
      </w:r>
      <w:r>
        <w:rPr>
          <w:rFonts w:ascii="Arial" w:cs="Arial" w:eastAsia="Arial" w:hAnsi="Arial"/>
          <w:sz w:val="19"/>
          <w:szCs w:val="19"/>
          <w:color w:val="3C3C3C"/>
        </w:rPr>
        <w:t>long as the decision to so Acquire was made in good faith and not for</w:t>
      </w:r>
      <w:r>
        <w:rPr>
          <w:rFonts w:ascii="Arial" w:cs="Arial" w:eastAsia="Arial" w:hAnsi="Arial"/>
          <w:sz w:val="21"/>
          <w:szCs w:val="21"/>
          <w:color w:val="3C3C3C"/>
        </w:rPr>
        <w:t xml:space="preserve"> </w:t>
      </w:r>
      <w:r>
        <w:rPr>
          <w:rFonts w:ascii="Arial" w:cs="Arial" w:eastAsia="Arial" w:hAnsi="Arial"/>
          <w:sz w:val="19"/>
          <w:szCs w:val="19"/>
          <w:color w:val="3C3C3C"/>
        </w:rPr>
        <w:t xml:space="preserve">the purpose (sole or partial) of evading the restrictions herein. In the event that Arch intends to acquire an Indirectly Competitive Business pursuant to the foregoing sentence, it shall be required to provide Lenders Protection with not less than [***] advance written notice thereof whereupon Lenders Protection shall have the right, but not the obligation, to terminate this Agreement upon notice to Arch; </w:t>
      </w:r>
      <w:r>
        <w:rPr>
          <w:rFonts w:ascii="Arial" w:cs="Arial" w:eastAsia="Arial" w:hAnsi="Arial"/>
          <w:sz w:val="19"/>
          <w:szCs w:val="19"/>
          <w:u w:val="single" w:color="auto"/>
          <w:color w:val="3C3C3C"/>
        </w:rPr>
        <w:t>provided</w:t>
      </w:r>
      <w:r>
        <w:rPr>
          <w:rFonts w:ascii="Arial" w:cs="Arial" w:eastAsia="Arial" w:hAnsi="Arial"/>
          <w:sz w:val="19"/>
          <w:szCs w:val="19"/>
          <w:color w:val="3C3C3C"/>
        </w:rPr>
        <w:t xml:space="preserve">, </w:t>
      </w:r>
      <w:r>
        <w:rPr>
          <w:rFonts w:ascii="Arial" w:cs="Arial" w:eastAsia="Arial" w:hAnsi="Arial"/>
          <w:sz w:val="19"/>
          <w:szCs w:val="19"/>
          <w:u w:val="single" w:color="auto"/>
          <w:color w:val="3C3C3C"/>
        </w:rPr>
        <w:t>that</w:t>
      </w:r>
      <w:r>
        <w:rPr>
          <w:rFonts w:ascii="Arial" w:cs="Arial" w:eastAsia="Arial" w:hAnsi="Arial"/>
          <w:sz w:val="19"/>
          <w:szCs w:val="19"/>
          <w:color w:val="3C3C3C"/>
        </w:rPr>
        <w:t xml:space="preserve">, such notice to terminate is given to Arch by Lenders Protection within said [***] </w:t>
      </w:r>
      <w:r>
        <w:rPr>
          <w:rFonts w:ascii="Arial" w:cs="Arial" w:eastAsia="Arial" w:hAnsi="Arial"/>
          <w:sz w:val="19"/>
          <w:szCs w:val="19"/>
          <w:color w:val="3A3A3A"/>
        </w:rPr>
        <w:t>period. Arch represents and warrants that, as of the</w:t>
      </w:r>
      <w:r>
        <w:rPr>
          <w:rFonts w:ascii="Arial" w:cs="Arial" w:eastAsia="Arial" w:hAnsi="Arial"/>
          <w:sz w:val="19"/>
          <w:szCs w:val="19"/>
          <w:color w:val="3C3C3C"/>
        </w:rPr>
        <w:t xml:space="preserve"> </w:t>
      </w:r>
      <w:r>
        <w:rPr>
          <w:rFonts w:ascii="Arial" w:cs="Arial" w:eastAsia="Arial" w:hAnsi="Arial"/>
          <w:sz w:val="19"/>
          <w:szCs w:val="19"/>
          <w:color w:val="3A3A3A"/>
        </w:rPr>
        <w:t>Effective Date, it does not own, operate or control (nor is it evaluating the ownership, operation or control), either directly or indirectly, of an Indirectly Competitive Business.</w:t>
      </w:r>
    </w:p>
    <w:p>
      <w:pPr>
        <w:spacing w:after="0" w:line="198" w:lineRule="exact"/>
        <w:rPr>
          <w:sz w:val="20"/>
          <w:szCs w:val="20"/>
          <w:color w:val="auto"/>
        </w:rPr>
      </w:pPr>
    </w:p>
    <w:p>
      <w:pPr>
        <w:ind w:left="1400" w:hanging="655"/>
        <w:spacing w:after="0"/>
        <w:tabs>
          <w:tab w:leader="none" w:pos="1400" w:val="left"/>
        </w:tabs>
        <w:numPr>
          <w:ilvl w:val="0"/>
          <w:numId w:val="16"/>
        </w:numPr>
        <w:rPr>
          <w:rFonts w:ascii="Arial" w:cs="Arial" w:eastAsia="Arial" w:hAnsi="Arial"/>
          <w:sz w:val="21"/>
          <w:szCs w:val="21"/>
          <w:color w:val="3A3A3A"/>
        </w:rPr>
      </w:pPr>
      <w:r>
        <w:rPr>
          <w:rFonts w:ascii="Arial" w:cs="Arial" w:eastAsia="Arial" w:hAnsi="Arial"/>
          <w:sz w:val="21"/>
          <w:szCs w:val="21"/>
          <w:color w:val="3A3A3A"/>
        </w:rPr>
        <w:t xml:space="preserve">Arch acknowledges and agrees that the restrictions imposed upon it under this </w:t>
      </w:r>
      <w:r>
        <w:rPr>
          <w:rFonts w:ascii="Arial" w:cs="Arial" w:eastAsia="Arial" w:hAnsi="Arial"/>
          <w:sz w:val="21"/>
          <w:szCs w:val="21"/>
          <w:u w:val="single" w:color="auto"/>
          <w:color w:val="3A3A3A"/>
        </w:rPr>
        <w:t>Section</w:t>
      </w:r>
    </w:p>
    <w:p>
      <w:pPr>
        <w:jc w:val="both"/>
        <w:ind w:left="100"/>
        <w:spacing w:after="0" w:line="225" w:lineRule="auto"/>
        <w:rPr>
          <w:sz w:val="20"/>
          <w:szCs w:val="20"/>
          <w:color w:val="auto"/>
        </w:rPr>
      </w:pPr>
      <w:r>
        <w:rPr>
          <w:rFonts w:ascii="Arial" w:cs="Arial" w:eastAsia="Arial" w:hAnsi="Arial"/>
          <w:sz w:val="19"/>
          <w:szCs w:val="19"/>
          <w:u w:val="single" w:color="auto"/>
          <w:color w:val="3A3A3A"/>
        </w:rPr>
        <w:t>3.1</w:t>
      </w:r>
      <w:r>
        <w:rPr>
          <w:rFonts w:ascii="Arial" w:cs="Arial" w:eastAsia="Arial" w:hAnsi="Arial"/>
          <w:sz w:val="19"/>
          <w:szCs w:val="19"/>
          <w:color w:val="3A3A3A"/>
        </w:rPr>
        <w:t xml:space="preserve"> (collectively, “</w:t>
      </w:r>
      <w:r>
        <w:rPr>
          <w:rFonts w:ascii="Arial" w:cs="Arial" w:eastAsia="Arial" w:hAnsi="Arial"/>
          <w:sz w:val="19"/>
          <w:szCs w:val="19"/>
          <w:u w:val="single" w:color="auto"/>
          <w:color w:val="3A3A3A"/>
        </w:rPr>
        <w:t>Arch's Non-Competition Commitment</w:t>
      </w:r>
      <w:r>
        <w:rPr>
          <w:rFonts w:ascii="Arial" w:cs="Arial" w:eastAsia="Arial" w:hAnsi="Arial"/>
          <w:sz w:val="19"/>
          <w:szCs w:val="19"/>
          <w:color w:val="3A3A3A"/>
        </w:rPr>
        <w:t>”) are reasonable and properly required for the adequate protection of Lenders Protection and its Affiliates. The Parties hereto agree that in the event any court of competent jurisdiction determines the Non-Compete Period or the specified geographical area of Arch's Non-Competition Commitment to be unreasonable, arbitrary or against public policy, a lesser time period or geographical area which is determined to be reasonable, non- arbitrary and not against public policy may be enforced against Arch. The Parties intend that Arch's Non-Competition Commitment is (and shall be construed as) a series of separate covenants, one for each state of the United States and one for each other similar region or territory, outside of the United States but within North America generally. Arch agrees that, in the event of any breach or threatened breach of Arch's Non-Competition Commitment, Lenders Protection will not have an adequate remedy in monetary damages; therefore Arch agrees that, in such event, Lenders Protection shall be entitled to obtain injunctive relief, without bond, and without the necessity of proof of actual damages, against any such actual or threatened breach in any court of competent jurisdiction. Such right of injunctive relief shall be in addition to and shall in no way limit Lenders Protection's right to obtain other remedies available under applicable law. In the event that Arch directly or indirectly breaches Arch's Non- Competition Commitment, the Non-Compete Period applicable to Arch shall be extended for an additional amount of time equal to the amount of time when such breach occurred until such breach is remedied (the “</w:t>
      </w:r>
      <w:r>
        <w:rPr>
          <w:rFonts w:ascii="Arial" w:cs="Arial" w:eastAsia="Arial" w:hAnsi="Arial"/>
          <w:sz w:val="19"/>
          <w:szCs w:val="19"/>
          <w:u w:val="single" w:color="auto"/>
          <w:color w:val="3A3A3A"/>
        </w:rPr>
        <w:t>Extension Period</w:t>
      </w:r>
      <w:r>
        <w:rPr>
          <w:rFonts w:ascii="Arial" w:cs="Arial" w:eastAsia="Arial" w:hAnsi="Arial"/>
          <w:sz w:val="19"/>
          <w:szCs w:val="19"/>
          <w:color w:val="3A3A3A"/>
        </w:rPr>
        <w:t xml:space="preserve">”); </w:t>
      </w:r>
      <w:r>
        <w:rPr>
          <w:rFonts w:ascii="Arial" w:cs="Arial" w:eastAsia="Arial" w:hAnsi="Arial"/>
          <w:sz w:val="19"/>
          <w:szCs w:val="19"/>
          <w:u w:val="single" w:color="auto"/>
          <w:color w:val="3A3A3A"/>
        </w:rPr>
        <w:t>provided</w:t>
      </w:r>
      <w:r>
        <w:rPr>
          <w:rFonts w:ascii="Arial" w:cs="Arial" w:eastAsia="Arial" w:hAnsi="Arial"/>
          <w:sz w:val="19"/>
          <w:szCs w:val="19"/>
          <w:color w:val="3A3A3A"/>
        </w:rPr>
        <w:t xml:space="preserve">, </w:t>
      </w:r>
      <w:r>
        <w:rPr>
          <w:rFonts w:ascii="Arial" w:cs="Arial" w:eastAsia="Arial" w:hAnsi="Arial"/>
          <w:sz w:val="19"/>
          <w:szCs w:val="19"/>
          <w:u w:val="single" w:color="auto"/>
          <w:color w:val="3A3A3A"/>
        </w:rPr>
        <w:t>however</w:t>
      </w:r>
      <w:r>
        <w:rPr>
          <w:rFonts w:ascii="Arial" w:cs="Arial" w:eastAsia="Arial" w:hAnsi="Arial"/>
          <w:sz w:val="19"/>
          <w:szCs w:val="19"/>
          <w:color w:val="3A3A3A"/>
        </w:rPr>
        <w:t xml:space="preserve">, in light of other remedies available to Lenders Protection (which are expressly reserved), the Extension Period shall never be longer than [***]. The obligations under and referred to in this </w:t>
      </w:r>
      <w:r>
        <w:rPr>
          <w:rFonts w:ascii="Arial" w:cs="Arial" w:eastAsia="Arial" w:hAnsi="Arial"/>
          <w:sz w:val="19"/>
          <w:szCs w:val="19"/>
          <w:u w:val="single" w:color="auto"/>
          <w:color w:val="3A3A3A"/>
        </w:rPr>
        <w:t>Section 3.1</w:t>
      </w:r>
      <w:r>
        <w:rPr>
          <w:rFonts w:ascii="Arial" w:cs="Arial" w:eastAsia="Arial" w:hAnsi="Arial"/>
          <w:sz w:val="19"/>
          <w:szCs w:val="19"/>
          <w:color w:val="3A3A3A"/>
        </w:rPr>
        <w:t xml:space="preserve"> shall survive the expiration or termination of this Agreement.</w:t>
      </w:r>
    </w:p>
    <w:p>
      <w:pPr>
        <w:spacing w:after="0" w:line="201" w:lineRule="exact"/>
        <w:rPr>
          <w:sz w:val="20"/>
          <w:szCs w:val="20"/>
          <w:color w:val="auto"/>
        </w:rPr>
      </w:pPr>
    </w:p>
    <w:p>
      <w:pPr>
        <w:ind w:left="100" w:right="320" w:firstLine="645"/>
        <w:spacing w:after="0" w:line="247" w:lineRule="auto"/>
        <w:tabs>
          <w:tab w:leader="none" w:pos="1299" w:val="left"/>
        </w:tabs>
        <w:numPr>
          <w:ilvl w:val="1"/>
          <w:numId w:val="17"/>
        </w:numPr>
        <w:rPr>
          <w:rFonts w:ascii="Arial" w:cs="Arial" w:eastAsia="Arial" w:hAnsi="Arial"/>
          <w:sz w:val="20"/>
          <w:szCs w:val="20"/>
          <w:color w:val="3A3A3A"/>
        </w:rPr>
      </w:pPr>
      <w:r>
        <w:rPr>
          <w:rFonts w:ascii="Arial" w:cs="Arial" w:eastAsia="Arial" w:hAnsi="Arial"/>
          <w:sz w:val="20"/>
          <w:szCs w:val="20"/>
          <w:color w:val="3A3A3A"/>
        </w:rPr>
        <w:t>For purposes of absolute clarity, the Parties acknowledge and agree that, for purposes of this Agreement, “indirect” actions include, without limitation, facilitating any third party to do or accomplish the referenced act.</w:t>
      </w:r>
    </w:p>
    <w:p>
      <w:pPr>
        <w:spacing w:after="0" w:line="174" w:lineRule="exact"/>
        <w:rPr>
          <w:rFonts w:ascii="Arial" w:cs="Arial" w:eastAsia="Arial" w:hAnsi="Arial"/>
          <w:sz w:val="20"/>
          <w:szCs w:val="20"/>
          <w:color w:val="3A3A3A"/>
        </w:rPr>
      </w:pPr>
    </w:p>
    <w:p>
      <w:pPr>
        <w:ind w:left="1300" w:hanging="555"/>
        <w:spacing w:after="0"/>
        <w:tabs>
          <w:tab w:leader="none" w:pos="1300" w:val="left"/>
        </w:tabs>
        <w:numPr>
          <w:ilvl w:val="1"/>
          <w:numId w:val="17"/>
        </w:numPr>
        <w:rPr>
          <w:rFonts w:ascii="Arial" w:cs="Arial" w:eastAsia="Arial" w:hAnsi="Arial"/>
          <w:sz w:val="19"/>
          <w:szCs w:val="19"/>
          <w:color w:val="3A3A3A"/>
        </w:rPr>
      </w:pPr>
      <w:r>
        <w:rPr>
          <w:rFonts w:ascii="Arial" w:cs="Arial" w:eastAsia="Arial" w:hAnsi="Arial"/>
          <w:sz w:val="19"/>
          <w:szCs w:val="19"/>
          <w:color w:val="3A3A3A"/>
        </w:rPr>
        <w:t xml:space="preserve">The Parties agree that the terms of </w:t>
      </w:r>
      <w:r>
        <w:rPr>
          <w:rFonts w:ascii="Arial" w:cs="Arial" w:eastAsia="Arial" w:hAnsi="Arial"/>
          <w:sz w:val="19"/>
          <w:szCs w:val="19"/>
          <w:u w:val="single" w:color="auto"/>
          <w:color w:val="3A3A3A"/>
        </w:rPr>
        <w:t>Section 3.1</w:t>
      </w:r>
      <w:r>
        <w:rPr>
          <w:rFonts w:ascii="Arial" w:cs="Arial" w:eastAsia="Arial" w:hAnsi="Arial"/>
          <w:sz w:val="19"/>
          <w:szCs w:val="19"/>
          <w:color w:val="3A3A3A"/>
        </w:rPr>
        <w:t xml:space="preserve"> shall not apply if, in any calendar year during the Term starting with</w:t>
      </w:r>
    </w:p>
    <w:p>
      <w:pPr>
        <w:spacing w:after="0" w:line="2" w:lineRule="exact"/>
        <w:rPr>
          <w:rFonts w:ascii="Arial" w:cs="Arial" w:eastAsia="Arial" w:hAnsi="Arial"/>
          <w:sz w:val="19"/>
          <w:szCs w:val="19"/>
          <w:color w:val="3A3A3A"/>
        </w:rPr>
      </w:pPr>
    </w:p>
    <w:p>
      <w:pPr>
        <w:jc w:val="both"/>
        <w:ind w:left="100" w:hanging="2"/>
        <w:spacing w:after="0" w:line="215" w:lineRule="auto"/>
        <w:tabs>
          <w:tab w:leader="none" w:pos="628" w:val="left"/>
        </w:tabs>
        <w:numPr>
          <w:ilvl w:val="0"/>
          <w:numId w:val="17"/>
        </w:numPr>
        <w:rPr>
          <w:rFonts w:ascii="Arial" w:cs="Arial" w:eastAsia="Arial" w:hAnsi="Arial"/>
          <w:sz w:val="21"/>
          <w:szCs w:val="21"/>
          <w:color w:val="3A3A3A"/>
        </w:rPr>
      </w:pPr>
      <w:r>
        <w:rPr>
          <w:rFonts w:ascii="Arial" w:cs="Arial" w:eastAsia="Arial" w:hAnsi="Arial"/>
          <w:sz w:val="21"/>
          <w:szCs w:val="21"/>
          <w:color w:val="3A3A3A"/>
        </w:rPr>
        <w:t>and thereafter, the Policy does not attach a number of Insured Loans written in that same applicable calendar year that is projected by Arch in good faith to result in an estimated ultimate premium of [***] (the “</w:t>
      </w:r>
      <w:r>
        <w:rPr>
          <w:rFonts w:ascii="Arial" w:cs="Arial" w:eastAsia="Arial" w:hAnsi="Arial"/>
          <w:sz w:val="21"/>
          <w:szCs w:val="21"/>
          <w:u w:val="single" w:color="auto"/>
          <w:color w:val="3A3A3A"/>
        </w:rPr>
        <w:t>Minimum Production</w:t>
      </w:r>
      <w:r>
        <w:rPr>
          <w:rFonts w:ascii="Arial" w:cs="Arial" w:eastAsia="Arial" w:hAnsi="Arial"/>
          <w:sz w:val="21"/>
          <w:szCs w:val="21"/>
          <w:color w:val="3A3A3A"/>
        </w:rPr>
        <w:t>”) arising from said Insured Loans and collected in due course by Arch.</w:t>
      </w:r>
    </w:p>
    <w:p>
      <w:pPr>
        <w:spacing w:after="0" w:line="200" w:lineRule="exact"/>
        <w:rPr>
          <w:sz w:val="20"/>
          <w:szCs w:val="20"/>
          <w:color w:val="auto"/>
        </w:rPr>
      </w:pPr>
    </w:p>
    <w:p>
      <w:pPr>
        <w:spacing w:after="0" w:line="308" w:lineRule="exact"/>
        <w:rPr>
          <w:sz w:val="20"/>
          <w:szCs w:val="20"/>
          <w:color w:val="auto"/>
        </w:rPr>
      </w:pPr>
    </w:p>
    <w:p>
      <w:pPr>
        <w:jc w:val="both"/>
        <w:ind w:left="100"/>
        <w:spacing w:after="0" w:line="216" w:lineRule="auto"/>
        <w:rPr>
          <w:sz w:val="20"/>
          <w:szCs w:val="20"/>
          <w:color w:val="auto"/>
        </w:rPr>
      </w:pPr>
      <w:r>
        <w:rPr>
          <w:rFonts w:ascii="Arial" w:cs="Arial" w:eastAsia="Arial" w:hAnsi="Arial"/>
          <w:sz w:val="21"/>
          <w:szCs w:val="21"/>
          <w:color w:val="3A3A3A"/>
        </w:rPr>
        <w:t xml:space="preserve">For purposes of absolute clarity, the Parties acknowledge and agree that, in the event the Policy does not attach the requisite number of Insured Loans necessary to meet the Minimum Production in any calendar year during the Term starting in [***], </w:t>
      </w:r>
      <w:r>
        <w:rPr>
          <w:rFonts w:ascii="Arial" w:cs="Arial" w:eastAsia="Arial" w:hAnsi="Arial"/>
          <w:sz w:val="21"/>
          <w:szCs w:val="21"/>
          <w:u w:val="single" w:color="auto"/>
          <w:color w:val="3A3A3A"/>
        </w:rPr>
        <w:t>Section 3.1</w:t>
      </w:r>
      <w:r>
        <w:rPr>
          <w:rFonts w:ascii="Arial" w:cs="Arial" w:eastAsia="Arial" w:hAnsi="Arial"/>
          <w:sz w:val="21"/>
          <w:szCs w:val="21"/>
          <w:color w:val="3A3A3A"/>
        </w:rPr>
        <w:t xml:space="preserve"> will not apply for the remainder of the Term. Arch will provide [***] days' notice of its intent to compete prior to actually engaging in activities that Compete with Lenders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Page | 5</w:t>
      </w:r>
    </w:p>
    <w:p>
      <w:pPr>
        <w:sectPr>
          <w:pgSz w:w="11900" w:h="16838" w:orient="portrait"/>
          <w:cols w:equalWidth="0" w:num="1">
            <w:col w:w="11140"/>
          </w:cols>
          <w:pgMar w:left="320" w:top="1395" w:right="439" w:bottom="1440" w:gutter="0" w:footer="0" w:header="0"/>
        </w:sectPr>
      </w:pPr>
    </w:p>
    <w:bookmarkStart w:id="38" w:name="page39"/>
    <w:bookmarkEnd w:id="38"/>
    <w:p>
      <w:pPr>
        <w:ind w:right="20" w:firstLine="645"/>
        <w:spacing w:after="0" w:line="232" w:lineRule="auto"/>
        <w:tabs>
          <w:tab w:leader="none" w:pos="1205" w:val="left"/>
        </w:tabs>
        <w:numPr>
          <w:ilvl w:val="0"/>
          <w:numId w:val="18"/>
        </w:numPr>
        <w:rPr>
          <w:rFonts w:ascii="Arial" w:cs="Arial" w:eastAsia="Arial" w:hAnsi="Arial"/>
          <w:sz w:val="21"/>
          <w:szCs w:val="21"/>
          <w:color w:val="3A3A3A"/>
        </w:rPr>
      </w:pPr>
      <w:r>
        <w:rPr>
          <w:rFonts w:ascii="Arial" w:cs="Arial" w:eastAsia="Arial" w:hAnsi="Arial"/>
          <w:sz w:val="21"/>
          <w:szCs w:val="21"/>
          <w:color w:val="3A3A3A"/>
        </w:rPr>
        <w:t xml:space="preserve">Notwithstanding any other statement to the contrary in this Agreement the SLB Agreement (as hereinafter defined) or the [***] referenced in </w:t>
      </w:r>
      <w:r>
        <w:rPr>
          <w:rFonts w:ascii="Arial" w:cs="Arial" w:eastAsia="Arial" w:hAnsi="Arial"/>
          <w:sz w:val="21"/>
          <w:szCs w:val="21"/>
          <w:u w:val="single" w:color="auto"/>
          <w:color w:val="3A3A3A"/>
        </w:rPr>
        <w:t>Section 4.6</w:t>
      </w:r>
      <w:r>
        <w:rPr>
          <w:rFonts w:ascii="Arial" w:cs="Arial" w:eastAsia="Arial" w:hAnsi="Arial"/>
          <w:sz w:val="21"/>
          <w:szCs w:val="21"/>
          <w:color w:val="3A3A3A"/>
        </w:rPr>
        <w:t xml:space="preserve"> , Lenders Protection acknowledges that:</w:t>
      </w:r>
    </w:p>
    <w:p>
      <w:pPr>
        <w:spacing w:after="0" w:line="181" w:lineRule="exact"/>
        <w:rPr>
          <w:rFonts w:ascii="Arial" w:cs="Arial" w:eastAsia="Arial" w:hAnsi="Arial"/>
          <w:sz w:val="21"/>
          <w:szCs w:val="21"/>
          <w:color w:val="3A3A3A"/>
        </w:rPr>
      </w:pPr>
    </w:p>
    <w:p>
      <w:pPr>
        <w:jc w:val="both"/>
        <w:ind w:left="640" w:firstLine="654"/>
        <w:spacing w:after="0" w:line="247" w:lineRule="auto"/>
        <w:tabs>
          <w:tab w:leader="none" w:pos="1834" w:val="left"/>
        </w:tabs>
        <w:numPr>
          <w:ilvl w:val="1"/>
          <w:numId w:val="18"/>
        </w:numPr>
        <w:rPr>
          <w:rFonts w:ascii="Arial" w:cs="Arial" w:eastAsia="Arial" w:hAnsi="Arial"/>
          <w:sz w:val="19"/>
          <w:szCs w:val="19"/>
          <w:color w:val="3A3A3A"/>
        </w:rPr>
      </w:pPr>
      <w:r>
        <w:rPr>
          <w:rFonts w:ascii="Arial" w:cs="Arial" w:eastAsia="Arial" w:hAnsi="Arial"/>
          <w:sz w:val="19"/>
          <w:szCs w:val="19"/>
          <w:color w:val="3A3A3A"/>
        </w:rPr>
        <w:t>Each calendar year starting in [***] and thereafter during the Term, the estimated ultimate premium projected by Arch to be remitted in due course to Arch resulting from the attachment of Insured Loans in an applicable calendar year to the Policy shall not exceed [***], unless otherwise approved or waived in writing by Arch; and</w:t>
      </w:r>
    </w:p>
    <w:p>
      <w:pPr>
        <w:spacing w:after="0" w:line="175" w:lineRule="exact"/>
        <w:rPr>
          <w:rFonts w:ascii="Arial" w:cs="Arial" w:eastAsia="Arial" w:hAnsi="Arial"/>
          <w:sz w:val="19"/>
          <w:szCs w:val="19"/>
          <w:color w:val="3A3A3A"/>
        </w:rPr>
      </w:pPr>
    </w:p>
    <w:p>
      <w:pPr>
        <w:jc w:val="both"/>
        <w:ind w:left="640" w:firstLine="654"/>
        <w:spacing w:after="0" w:line="216" w:lineRule="auto"/>
        <w:tabs>
          <w:tab w:leader="none" w:pos="1838" w:val="left"/>
        </w:tabs>
        <w:numPr>
          <w:ilvl w:val="1"/>
          <w:numId w:val="18"/>
        </w:numPr>
        <w:rPr>
          <w:rFonts w:ascii="Arial" w:cs="Arial" w:eastAsia="Arial" w:hAnsi="Arial"/>
          <w:sz w:val="21"/>
          <w:szCs w:val="21"/>
          <w:color w:val="3A3A3A"/>
        </w:rPr>
      </w:pPr>
      <w:r>
        <w:rPr>
          <w:rFonts w:ascii="Arial" w:cs="Arial" w:eastAsia="Arial" w:hAnsi="Arial"/>
          <w:sz w:val="21"/>
          <w:szCs w:val="21"/>
          <w:color w:val="3A3A3A"/>
        </w:rPr>
        <w:t>Arch has affiliated entities who engage in the business of credit default insurance applicable to products in the mortgage industry, and that such business is not, and shall not be considered by Lenders Protection to be, in any way competitive with the business contemplated under this Agreement and in no way a violation of Arch’s Non-Competition Commitment.</w:t>
      </w:r>
    </w:p>
    <w:p>
      <w:pPr>
        <w:spacing w:after="0" w:line="178"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b w:val="1"/>
          <w:bCs w:val="1"/>
          <w:color w:val="3A3A3A"/>
        </w:rPr>
        <w:t>Section 3.2</w:t>
      </w:r>
      <w:r>
        <w:rPr>
          <w:sz w:val="20"/>
          <w:szCs w:val="20"/>
          <w:color w:val="auto"/>
        </w:rPr>
        <w:tab/>
      </w:r>
      <w:r>
        <w:rPr>
          <w:rFonts w:ascii="Arial" w:cs="Arial" w:eastAsia="Arial" w:hAnsi="Arial"/>
          <w:sz w:val="18"/>
          <w:szCs w:val="18"/>
          <w:b w:val="1"/>
          <w:bCs w:val="1"/>
          <w:u w:val="single" w:color="auto"/>
          <w:color w:val="3A3A3A"/>
        </w:rPr>
        <w:t>Rights in Connection with New Products</w:t>
      </w:r>
      <w:r>
        <w:rPr>
          <w:rFonts w:ascii="Arial" w:cs="Arial" w:eastAsia="Arial" w:hAnsi="Arial"/>
          <w:sz w:val="18"/>
          <w:szCs w:val="18"/>
          <w:color w:val="3A3A3A"/>
        </w:rPr>
        <w:t>.</w:t>
      </w:r>
    </w:p>
    <w:p>
      <w:pPr>
        <w:spacing w:after="0" w:line="305" w:lineRule="exact"/>
        <w:rPr>
          <w:sz w:val="20"/>
          <w:szCs w:val="20"/>
          <w:color w:val="auto"/>
        </w:rPr>
      </w:pPr>
    </w:p>
    <w:p>
      <w:pPr>
        <w:jc w:val="both"/>
        <w:ind w:firstLine="728"/>
        <w:spacing w:after="0" w:line="226" w:lineRule="auto"/>
        <w:tabs>
          <w:tab w:leader="none" w:pos="1202" w:val="left"/>
        </w:tabs>
        <w:numPr>
          <w:ilvl w:val="0"/>
          <w:numId w:val="19"/>
        </w:numPr>
        <w:rPr>
          <w:rFonts w:ascii="Arial" w:cs="Arial" w:eastAsia="Arial" w:hAnsi="Arial"/>
          <w:sz w:val="19"/>
          <w:szCs w:val="19"/>
          <w:color w:val="3B3B3B"/>
        </w:rPr>
      </w:pPr>
      <w:r>
        <w:rPr>
          <w:rFonts w:ascii="Arial" w:cs="Arial" w:eastAsia="Arial" w:hAnsi="Arial"/>
          <w:sz w:val="19"/>
          <w:szCs w:val="19"/>
          <w:color w:val="3A3A3A"/>
        </w:rPr>
        <w:t xml:space="preserve">During the Non-Compete Period, Lenders Protection agrees that prior to the time that it begins to commercially offer New Products, it may provide Arch, and may provide Additional Carriers of its selection with written notice thereof (which such notice shall include generally (i) the description of the New Product, (ii) the market to be served and (iii) the manner in which Lenders Protection is willing to permit Arch and/or the Additional Carriers to participate therein) (which terms and matters related to the New Product shall, except as otherwise provided in </w:t>
      </w:r>
      <w:r>
        <w:rPr>
          <w:rFonts w:ascii="Arial" w:cs="Arial" w:eastAsia="Arial" w:hAnsi="Arial"/>
          <w:sz w:val="19"/>
          <w:szCs w:val="19"/>
          <w:u w:val="single" w:color="auto"/>
          <w:color w:val="3A3A3A"/>
        </w:rPr>
        <w:t>Article 10</w:t>
      </w:r>
      <w:r>
        <w:rPr>
          <w:rFonts w:ascii="Arial" w:cs="Arial" w:eastAsia="Arial" w:hAnsi="Arial"/>
          <w:sz w:val="19"/>
          <w:szCs w:val="19"/>
          <w:color w:val="3A3A3A"/>
        </w:rPr>
        <w:t xml:space="preserve">, be deemed to be Confidential Information of Lenders Protection for purposes of this Agreement) whereupon Lenders Protection shall negotiate, in good faith, for a period not to exceed [***], with Arch and the Additional Carriers, if so notified, to determine which of such parties, if any, shall be selected to participate in connection with such New Products and the terms and conditions thereof. If Lenders Protection selects Arch, which such selection is at the sole and absolute discretion of Lenders Protection, then Lenders Protection shall negotiate reasonably and in good faith with Arch (and any other party selected by Lenders Protection) to enter into an agreement reflecting such terms and conditions. For purposes of establishing absolute clarity hereto, Arch acknowledges that, except as provided in this </w:t>
      </w:r>
      <w:r>
        <w:rPr>
          <w:rFonts w:ascii="Arial" w:cs="Arial" w:eastAsia="Arial" w:hAnsi="Arial"/>
          <w:sz w:val="19"/>
          <w:szCs w:val="19"/>
          <w:u w:val="single" w:color="auto"/>
          <w:color w:val="3A3A3A"/>
        </w:rPr>
        <w:t>Section 3.2</w:t>
      </w:r>
      <w:r>
        <w:rPr>
          <w:rFonts w:ascii="Arial" w:cs="Arial" w:eastAsia="Arial" w:hAnsi="Arial"/>
          <w:sz w:val="19"/>
          <w:szCs w:val="19"/>
          <w:color w:val="3A3A3A"/>
        </w:rPr>
        <w:t>, Lenders Protection has not provided Arch any rights of participation in connection with the commercialization of new Products. Lenders Protection acknowledges that Arch may currently or in the future be developing new product ideas or receiving new product ideas from others that are similar to a New Product. Accordingly, nothing in this Agreement will prohibit Arch from developing or having developed for its products, concepts, systems or technologies that are similar to or compete with new Products provided that Arch does not violate any of its obligations under this Agreement (or any other agreement between the Parties) in connection therewith.</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3A3A3A"/>
        </w:rPr>
        <w:t xml:space="preserve">Arch may, at its option and in its discretion, provide Lenders Protection with written notice in the event Arch desires to begin to commercially offer Arch New Products (which such notice would include generally (i) </w:t>
      </w:r>
      <w:r>
        <w:rPr>
          <w:rFonts w:ascii="Arial" w:cs="Arial" w:eastAsia="Arial" w:hAnsi="Arial"/>
          <w:sz w:val="19"/>
          <w:szCs w:val="19"/>
          <w:color w:val="3B3B3B"/>
        </w:rPr>
        <w:t>the description of Arch New Product, (ii) the</w:t>
      </w:r>
      <w:r>
        <w:rPr>
          <w:rFonts w:ascii="Arial" w:cs="Arial" w:eastAsia="Arial" w:hAnsi="Arial"/>
          <w:sz w:val="19"/>
          <w:szCs w:val="19"/>
          <w:color w:val="3A3A3A"/>
        </w:rPr>
        <w:t xml:space="preserve"> </w:t>
      </w:r>
      <w:r>
        <w:rPr>
          <w:rFonts w:ascii="Arial" w:cs="Arial" w:eastAsia="Arial" w:hAnsi="Arial"/>
          <w:sz w:val="19"/>
          <w:szCs w:val="19"/>
          <w:color w:val="3B3B3B"/>
        </w:rPr>
        <w:t xml:space="preserve">market to be served and (iii) the manner in which Lenders Protection could participate therein) (which terms and matters related to Arch New Product shall, except as otherwise provided in </w:t>
      </w:r>
      <w:r>
        <w:rPr>
          <w:rFonts w:ascii="Arial" w:cs="Arial" w:eastAsia="Arial" w:hAnsi="Arial"/>
          <w:sz w:val="19"/>
          <w:szCs w:val="19"/>
          <w:u w:val="single" w:color="auto"/>
          <w:color w:val="3B3B3B"/>
        </w:rPr>
        <w:t>Article 10</w:t>
      </w:r>
      <w:r>
        <w:rPr>
          <w:rFonts w:ascii="Arial" w:cs="Arial" w:eastAsia="Arial" w:hAnsi="Arial"/>
          <w:sz w:val="19"/>
          <w:szCs w:val="19"/>
          <w:color w:val="3B3B3B"/>
        </w:rPr>
        <w:t>, be deemed to be Confidential Information of Arch for purposes of this Agreement) whereupon the Parties may negotiate, in good faith, for a period not to exceed [***], to determine whether Lenders Protection desires to participate in connection with such Arch New Products and the terms and conditions thereof. For purposes of establishing absolute clarity hereto, Lenders Protection acknowledges that, except as provided herein, Arch shall be under no obligation to allow Lenders Protection to participate in the commercialization of any Arch New Products. Arch acknowledges that Lenders Protection may currently or in the future be developing new product ideas or receiving new product ideas from others that are similar to an Arch New Product. Accordingly, nothing in this Agreement will prohibit Lenders Protection from developing or having developed for its products, concepts, systems or technologies that are similar to or compete with Arch New Products provided that Lenders Protection does not violate any of its obligations under this Agreement (or any other agreement between the Parties)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6</w:t>
      </w:r>
    </w:p>
    <w:p>
      <w:pPr>
        <w:sectPr>
          <w:pgSz w:w="11900" w:h="16838" w:orient="portrait"/>
          <w:cols w:equalWidth="0" w:num="1">
            <w:col w:w="11040"/>
          </w:cols>
          <w:pgMar w:left="420" w:top="1395" w:right="439" w:bottom="1440" w:gutter="0" w:footer="0" w:header="0"/>
        </w:sectPr>
      </w:pPr>
    </w:p>
    <w:bookmarkStart w:id="39" w:name="page40"/>
    <w:bookmarkEnd w:id="39"/>
    <w:p>
      <w:pPr>
        <w:ind w:left="620"/>
        <w:spacing w:after="0"/>
        <w:tabs>
          <w:tab w:leader="none" w:pos="1760" w:val="left"/>
        </w:tabs>
        <w:rPr>
          <w:sz w:val="20"/>
          <w:szCs w:val="20"/>
          <w:color w:val="auto"/>
        </w:rPr>
      </w:pPr>
      <w:r>
        <w:rPr>
          <w:rFonts w:ascii="Arial" w:cs="Arial" w:eastAsia="Arial" w:hAnsi="Arial"/>
          <w:sz w:val="21"/>
          <w:szCs w:val="21"/>
          <w:b w:val="1"/>
          <w:bCs w:val="1"/>
          <w:color w:val="3B3B3B"/>
        </w:rPr>
        <w:t>Section 3.3</w:t>
      </w:r>
      <w:r>
        <w:rPr>
          <w:sz w:val="20"/>
          <w:szCs w:val="20"/>
          <w:color w:val="auto"/>
        </w:rPr>
        <w:tab/>
      </w:r>
      <w:r>
        <w:rPr>
          <w:rFonts w:ascii="Arial" w:cs="Arial" w:eastAsia="Arial" w:hAnsi="Arial"/>
          <w:sz w:val="19"/>
          <w:szCs w:val="19"/>
          <w:b w:val="1"/>
          <w:bCs w:val="1"/>
          <w:u w:val="single" w:color="auto"/>
          <w:color w:val="3B3B3B"/>
        </w:rPr>
        <w:t>Additional Carrier(s)</w:t>
      </w:r>
      <w:r>
        <w:rPr>
          <w:rFonts w:ascii="Arial" w:cs="Arial" w:eastAsia="Arial" w:hAnsi="Arial"/>
          <w:sz w:val="19"/>
          <w:szCs w:val="19"/>
          <w:b w:val="1"/>
          <w:bCs w:val="1"/>
          <w:color w:val="3B3B3B"/>
        </w:rPr>
        <w:t>.</w:t>
      </w:r>
    </w:p>
    <w:p>
      <w:pPr>
        <w:spacing w:after="0" w:line="305" w:lineRule="exact"/>
        <w:rPr>
          <w:sz w:val="20"/>
          <w:szCs w:val="20"/>
          <w:color w:val="auto"/>
        </w:rPr>
      </w:pPr>
    </w:p>
    <w:p>
      <w:pPr>
        <w:ind w:left="1920" w:hanging="647"/>
        <w:spacing w:after="0"/>
        <w:tabs>
          <w:tab w:leader="none" w:pos="1920" w:val="left"/>
        </w:tabs>
        <w:numPr>
          <w:ilvl w:val="1"/>
          <w:numId w:val="20"/>
        </w:numPr>
        <w:rPr>
          <w:rFonts w:ascii="Arial" w:cs="Arial" w:eastAsia="Arial" w:hAnsi="Arial"/>
          <w:sz w:val="21"/>
          <w:szCs w:val="21"/>
          <w:color w:val="3B3B3B"/>
        </w:rPr>
      </w:pPr>
      <w:r>
        <w:rPr>
          <w:rFonts w:ascii="Arial" w:cs="Arial" w:eastAsia="Arial" w:hAnsi="Arial"/>
          <w:sz w:val="21"/>
          <w:szCs w:val="21"/>
          <w:u w:val="single" w:color="auto"/>
          <w:color w:val="3B3B3B"/>
        </w:rPr>
        <w:t>Right to Utilize Additional Carrier(s)</w:t>
      </w:r>
      <w:r>
        <w:rPr>
          <w:rFonts w:ascii="Arial" w:cs="Arial" w:eastAsia="Arial" w:hAnsi="Arial"/>
          <w:sz w:val="21"/>
          <w:szCs w:val="21"/>
          <w:color w:val="3B3B3B"/>
        </w:rPr>
        <w:t>.</w:t>
      </w:r>
    </w:p>
    <w:p>
      <w:pPr>
        <w:spacing w:after="0" w:line="285" w:lineRule="exact"/>
        <w:rPr>
          <w:rFonts w:ascii="Arial" w:cs="Arial" w:eastAsia="Arial" w:hAnsi="Arial"/>
          <w:sz w:val="21"/>
          <w:szCs w:val="21"/>
          <w:color w:val="3B3B3B"/>
        </w:rPr>
      </w:pPr>
    </w:p>
    <w:p>
      <w:pPr>
        <w:jc w:val="both"/>
        <w:ind w:left="-20" w:firstLine="1941"/>
        <w:spacing w:after="0" w:line="216" w:lineRule="auto"/>
        <w:tabs>
          <w:tab w:leader="none" w:pos="2469" w:val="left"/>
        </w:tabs>
        <w:numPr>
          <w:ilvl w:val="2"/>
          <w:numId w:val="20"/>
        </w:numPr>
        <w:rPr>
          <w:rFonts w:ascii="Arial" w:cs="Arial" w:eastAsia="Arial" w:hAnsi="Arial"/>
          <w:sz w:val="21"/>
          <w:szCs w:val="21"/>
          <w:color w:val="3B3B3B"/>
        </w:rPr>
      </w:pPr>
      <w:r>
        <w:rPr>
          <w:rFonts w:ascii="Arial" w:cs="Arial" w:eastAsia="Arial" w:hAnsi="Arial"/>
          <w:sz w:val="21"/>
          <w:szCs w:val="21"/>
          <w:color w:val="3B3B3B"/>
        </w:rPr>
        <w:t xml:space="preserve">Notwithstanding any provision of this Agreement or in any other agreement between the Parties to the contrary (including </w:t>
      </w:r>
      <w:r>
        <w:rPr>
          <w:rFonts w:ascii="Arial" w:cs="Arial" w:eastAsia="Arial" w:hAnsi="Arial"/>
          <w:sz w:val="21"/>
          <w:szCs w:val="21"/>
          <w:u w:val="single" w:color="auto"/>
          <w:color w:val="3B3B3B"/>
        </w:rPr>
        <w:t>Section 3.2</w:t>
      </w:r>
      <w:r>
        <w:rPr>
          <w:rFonts w:ascii="Arial" w:cs="Arial" w:eastAsia="Arial" w:hAnsi="Arial"/>
          <w:sz w:val="21"/>
          <w:szCs w:val="21"/>
          <w:color w:val="3B3B3B"/>
        </w:rPr>
        <w:t xml:space="preserve"> hereof), Lenders Protection shall have the right to utilize one or more Additional Carrier(s) to issue or arrange for Additional Carrier Policies under the Program, in each case, on the terms and subject to the conditions in this </w:t>
      </w:r>
      <w:r>
        <w:rPr>
          <w:rFonts w:ascii="Arial" w:cs="Arial" w:eastAsia="Arial" w:hAnsi="Arial"/>
          <w:sz w:val="21"/>
          <w:szCs w:val="21"/>
          <w:u w:val="single" w:color="auto"/>
          <w:color w:val="3B3B3B"/>
        </w:rPr>
        <w:t>Section</w:t>
      </w:r>
      <w:r>
        <w:rPr>
          <w:rFonts w:ascii="Arial" w:cs="Arial" w:eastAsia="Arial" w:hAnsi="Arial"/>
          <w:sz w:val="21"/>
          <w:szCs w:val="21"/>
          <w:color w:val="3B3B3B"/>
        </w:rPr>
        <w:t xml:space="preserve"> </w:t>
      </w:r>
      <w:r>
        <w:rPr>
          <w:rFonts w:ascii="Arial" w:cs="Arial" w:eastAsia="Arial" w:hAnsi="Arial"/>
          <w:sz w:val="21"/>
          <w:szCs w:val="21"/>
          <w:u w:val="single" w:color="auto"/>
          <w:color w:val="3B3B3B"/>
        </w:rPr>
        <w:t>3.3</w:t>
      </w:r>
      <w:r>
        <w:rPr>
          <w:rFonts w:ascii="Arial" w:cs="Arial" w:eastAsia="Arial" w:hAnsi="Arial"/>
          <w:sz w:val="21"/>
          <w:szCs w:val="21"/>
          <w:color w:val="3B3B3B"/>
        </w:rPr>
        <w:t>.</w:t>
      </w:r>
    </w:p>
    <w:p>
      <w:pPr>
        <w:spacing w:after="0" w:line="264" w:lineRule="exact"/>
        <w:rPr>
          <w:rFonts w:ascii="Arial" w:cs="Arial" w:eastAsia="Arial" w:hAnsi="Arial"/>
          <w:sz w:val="21"/>
          <w:szCs w:val="21"/>
          <w:color w:val="3B3B3B"/>
        </w:rPr>
      </w:pPr>
    </w:p>
    <w:p>
      <w:pPr>
        <w:jc w:val="both"/>
        <w:ind w:left="-20" w:firstLine="1941"/>
        <w:spacing w:after="0" w:line="226" w:lineRule="auto"/>
        <w:tabs>
          <w:tab w:leader="none" w:pos="2473" w:val="left"/>
        </w:tabs>
        <w:numPr>
          <w:ilvl w:val="2"/>
          <w:numId w:val="20"/>
        </w:numPr>
        <w:rPr>
          <w:rFonts w:ascii="Arial" w:cs="Arial" w:eastAsia="Arial" w:hAnsi="Arial"/>
          <w:sz w:val="19"/>
          <w:szCs w:val="19"/>
          <w:color w:val="3C3C3C"/>
        </w:rPr>
      </w:pPr>
      <w:r>
        <w:rPr>
          <w:rFonts w:ascii="Arial" w:cs="Arial" w:eastAsia="Arial" w:hAnsi="Arial"/>
          <w:sz w:val="19"/>
          <w:szCs w:val="19"/>
          <w:color w:val="3B3B3B"/>
        </w:rPr>
        <w:t xml:space="preserve">Upon the request (whether verbal, written or electronic) of an Existing Arch Lender to Lenders Protection to be transitioned to the use of one or more Additional Carrier Policies (a copy of which shall be provided to Arch if such request was provided in writing or by email by such </w:t>
      </w:r>
      <w:r>
        <w:rPr>
          <w:rFonts w:ascii="Arial" w:cs="Arial" w:eastAsia="Arial" w:hAnsi="Arial"/>
          <w:sz w:val="19"/>
          <w:szCs w:val="19"/>
          <w:color w:val="3C3C3C"/>
        </w:rPr>
        <w:t>Existing Arch Lender) (a “</w:t>
      </w:r>
      <w:r>
        <w:rPr>
          <w:rFonts w:ascii="Arial" w:cs="Arial" w:eastAsia="Arial" w:hAnsi="Arial"/>
          <w:sz w:val="19"/>
          <w:szCs w:val="19"/>
          <w:u w:val="single" w:color="auto"/>
          <w:color w:val="3C3C3C"/>
        </w:rPr>
        <w:t>Request to Transition</w:t>
      </w:r>
      <w:r>
        <w:rPr>
          <w:rFonts w:ascii="Arial" w:cs="Arial" w:eastAsia="Arial" w:hAnsi="Arial"/>
          <w:sz w:val="19"/>
          <w:szCs w:val="19"/>
          <w:color w:val="3C3C3C"/>
        </w:rPr>
        <w:t>”), Lenders Protection may</w:t>
      </w:r>
      <w:r>
        <w:rPr>
          <w:rFonts w:ascii="Arial" w:cs="Arial" w:eastAsia="Arial" w:hAnsi="Arial"/>
          <w:sz w:val="19"/>
          <w:szCs w:val="19"/>
          <w:color w:val="3B3B3B"/>
        </w:rPr>
        <w:t xml:space="preserve"> </w:t>
      </w:r>
      <w:r>
        <w:rPr>
          <w:rFonts w:ascii="Arial" w:cs="Arial" w:eastAsia="Arial" w:hAnsi="Arial"/>
          <w:sz w:val="19"/>
          <w:szCs w:val="19"/>
          <w:color w:val="3C3C3C"/>
        </w:rPr>
        <w:t>thereafter cause such Existing Arch Lender (a “</w:t>
      </w:r>
      <w:r>
        <w:rPr>
          <w:rFonts w:ascii="Arial" w:cs="Arial" w:eastAsia="Arial" w:hAnsi="Arial"/>
          <w:sz w:val="19"/>
          <w:szCs w:val="19"/>
          <w:u w:val="single" w:color="auto"/>
          <w:color w:val="3C3C3C"/>
        </w:rPr>
        <w:t>Transitioned Lender</w:t>
      </w:r>
      <w:r>
        <w:rPr>
          <w:rFonts w:ascii="Arial" w:cs="Arial" w:eastAsia="Arial" w:hAnsi="Arial"/>
          <w:sz w:val="19"/>
          <w:szCs w:val="19"/>
          <w:color w:val="3C3C3C"/>
        </w:rPr>
        <w:t>”) to be issued one or more Additional Carrier Policies (instead of Arch Policies) under the Program. In furtherance of the foregoing. Lenders Protection covenants that, during the Term hereof, it shall not actively solicit, promote, induce or encourage any Existing Arch Lender to request a transition from Arch to an Additional Carrier. In connection with any Transitioned Lender, Lenders Protection shall provide Arch with a written notice (“</w:t>
      </w:r>
      <w:r>
        <w:rPr>
          <w:rFonts w:ascii="Arial" w:cs="Arial" w:eastAsia="Arial" w:hAnsi="Arial"/>
          <w:sz w:val="19"/>
          <w:szCs w:val="19"/>
          <w:u w:val="single" w:color="auto"/>
          <w:color w:val="3C3C3C"/>
        </w:rPr>
        <w:t>Transition</w:t>
      </w:r>
      <w:r>
        <w:rPr>
          <w:rFonts w:ascii="Arial" w:cs="Arial" w:eastAsia="Arial" w:hAnsi="Arial"/>
          <w:sz w:val="19"/>
          <w:szCs w:val="19"/>
          <w:color w:val="3C3C3C"/>
        </w:rPr>
        <w:t xml:space="preserve"> </w:t>
      </w:r>
      <w:r>
        <w:rPr>
          <w:rFonts w:ascii="Arial" w:cs="Arial" w:eastAsia="Arial" w:hAnsi="Arial"/>
          <w:sz w:val="19"/>
          <w:szCs w:val="19"/>
          <w:u w:val="single" w:color="auto"/>
          <w:color w:val="3C3C3C"/>
        </w:rPr>
        <w:t>Notice</w:t>
      </w:r>
      <w:r>
        <w:rPr>
          <w:rFonts w:ascii="Arial" w:cs="Arial" w:eastAsia="Arial" w:hAnsi="Arial"/>
          <w:sz w:val="19"/>
          <w:szCs w:val="19"/>
          <w:color w:val="3C3C3C"/>
        </w:rPr>
        <w:t>”) setting forth in reasonable detail the basis of such transition (as then known and understood by Lenders Protection) and the effective date of such transition (“</w:t>
      </w:r>
      <w:r>
        <w:rPr>
          <w:rFonts w:ascii="Arial" w:cs="Arial" w:eastAsia="Arial" w:hAnsi="Arial"/>
          <w:sz w:val="19"/>
          <w:szCs w:val="19"/>
          <w:u w:val="single" w:color="auto"/>
          <w:color w:val="3C3C3C"/>
        </w:rPr>
        <w:t>Transition Date</w:t>
      </w:r>
      <w:r>
        <w:rPr>
          <w:rFonts w:ascii="Arial" w:cs="Arial" w:eastAsia="Arial" w:hAnsi="Arial"/>
          <w:sz w:val="19"/>
          <w:szCs w:val="19"/>
          <w:color w:val="3C3C3C"/>
        </w:rPr>
        <w:t>”). Any such Transitioned Lender shall, following the Transition Date, be classified as an Existing Additional Carrier Lender. Prior to delivering any Transition Notice, Lenders Protection will (i) consult in good faith with Arch and allow Arch an opportunity to prevent or avoid delivery of the applicable Transition Notice through explanation, mitigation or cure of the facts, circumstances or events giving rise thereto, and (ii) use commercially reasonable efforts to facilitate consultation between (x) a senior management member of Arch, (y) a senior manager of the applicable Existing Arch Lender identified by Lenders Protection and (z) a senior manager of Lenders Protection, with the goal of such consultation being to prevent or avoid delivery of the applicable Transition Notice through explanation, mitigation or cure of the facts, circumstances or events giving rise thereto. Arch understands, acknowledges and agrees that the outcome of any such meeting or consultation and the decision to deliver a Transition Notice is to be determined by Lenders Protection in its reasonable business judgment.</w:t>
      </w:r>
    </w:p>
    <w:p>
      <w:pPr>
        <w:spacing w:after="0" w:line="201" w:lineRule="exact"/>
        <w:rPr>
          <w:rFonts w:ascii="Arial" w:cs="Arial" w:eastAsia="Arial" w:hAnsi="Arial"/>
          <w:sz w:val="19"/>
          <w:szCs w:val="19"/>
          <w:color w:val="3C3C3C"/>
        </w:rPr>
      </w:pPr>
    </w:p>
    <w:p>
      <w:pPr>
        <w:ind w:left="1400" w:hanging="451"/>
        <w:spacing w:after="0"/>
        <w:tabs>
          <w:tab w:leader="none" w:pos="1400" w:val="left"/>
        </w:tabs>
        <w:numPr>
          <w:ilvl w:val="0"/>
          <w:numId w:val="21"/>
        </w:numPr>
        <w:rPr>
          <w:rFonts w:ascii="Arial" w:cs="Arial" w:eastAsia="Arial" w:hAnsi="Arial"/>
          <w:sz w:val="21"/>
          <w:szCs w:val="21"/>
          <w:color w:val="3C3C3C"/>
        </w:rPr>
      </w:pPr>
      <w:r>
        <w:rPr>
          <w:rFonts w:ascii="Arial" w:cs="Arial" w:eastAsia="Arial" w:hAnsi="Arial"/>
          <w:sz w:val="21"/>
          <w:szCs w:val="21"/>
          <w:u w:val="single" w:color="auto"/>
          <w:color w:val="3C3C3C"/>
        </w:rPr>
        <w:t>Allocation of</w:t>
      </w:r>
      <w:r>
        <w:rPr>
          <w:rFonts w:ascii="Arial" w:cs="Arial" w:eastAsia="Arial" w:hAnsi="Arial"/>
          <w:sz w:val="21"/>
          <w:szCs w:val="21"/>
          <w:color w:val="3C3C3C"/>
        </w:rPr>
        <w:t xml:space="preserve"> </w:t>
      </w:r>
      <w:r>
        <w:rPr>
          <w:rFonts w:ascii="Arial" w:cs="Arial" w:eastAsia="Arial" w:hAnsi="Arial"/>
          <w:sz w:val="21"/>
          <w:szCs w:val="21"/>
          <w:u w:val="single" w:color="auto"/>
          <w:color w:val="3B3B3B"/>
        </w:rPr>
        <w:t>Insured</w:t>
      </w:r>
      <w:r>
        <w:rPr>
          <w:rFonts w:ascii="Arial" w:cs="Arial" w:eastAsia="Arial" w:hAnsi="Arial"/>
          <w:sz w:val="21"/>
          <w:szCs w:val="21"/>
          <w:color w:val="3C3C3C"/>
        </w:rPr>
        <w:t xml:space="preserve"> </w:t>
      </w:r>
      <w:r>
        <w:rPr>
          <w:rFonts w:ascii="Arial" w:cs="Arial" w:eastAsia="Arial" w:hAnsi="Arial"/>
          <w:sz w:val="21"/>
          <w:szCs w:val="21"/>
          <w:u w:val="single" w:color="auto"/>
          <w:color w:val="3C3C3C"/>
        </w:rPr>
        <w:t>Loans by New Allocable Lenders</w:t>
      </w:r>
      <w:r>
        <w:rPr>
          <w:rFonts w:ascii="Arial" w:cs="Arial" w:eastAsia="Arial" w:hAnsi="Arial"/>
          <w:sz w:val="21"/>
          <w:szCs w:val="21"/>
          <w:color w:val="3C3C3C"/>
        </w:rPr>
        <w:t>.</w:t>
      </w:r>
    </w:p>
    <w:p>
      <w:pPr>
        <w:spacing w:after="0" w:line="285" w:lineRule="exact"/>
        <w:rPr>
          <w:rFonts w:ascii="Arial" w:cs="Arial" w:eastAsia="Arial" w:hAnsi="Arial"/>
          <w:sz w:val="21"/>
          <w:szCs w:val="21"/>
          <w:color w:val="3C3C3C"/>
        </w:rPr>
      </w:pPr>
    </w:p>
    <w:p>
      <w:pPr>
        <w:jc w:val="both"/>
        <w:ind w:left="-120" w:firstLine="2033"/>
        <w:spacing w:after="0" w:line="224" w:lineRule="auto"/>
        <w:tabs>
          <w:tab w:leader="none" w:pos="2419" w:val="left"/>
        </w:tabs>
        <w:numPr>
          <w:ilvl w:val="2"/>
          <w:numId w:val="21"/>
        </w:numPr>
        <w:rPr>
          <w:rFonts w:ascii="Arial" w:cs="Arial" w:eastAsia="Arial" w:hAnsi="Arial"/>
          <w:sz w:val="20"/>
          <w:szCs w:val="20"/>
          <w:color w:val="3C3C3C"/>
        </w:rPr>
      </w:pPr>
      <w:r>
        <w:rPr>
          <w:rFonts w:ascii="Arial" w:cs="Arial" w:eastAsia="Arial" w:hAnsi="Arial"/>
          <w:sz w:val="20"/>
          <w:szCs w:val="20"/>
          <w:color w:val="3C3C3C"/>
        </w:rPr>
        <w:t xml:space="preserve">Arch acknowledges and </w:t>
      </w:r>
      <w:r>
        <w:rPr>
          <w:rFonts w:ascii="Arial" w:cs="Arial" w:eastAsia="Arial" w:hAnsi="Arial"/>
          <w:sz w:val="20"/>
          <w:szCs w:val="20"/>
          <w:color w:val="3B3B3B"/>
        </w:rPr>
        <w:t>agrees</w:t>
      </w:r>
      <w:r>
        <w:rPr>
          <w:rFonts w:ascii="Arial" w:cs="Arial" w:eastAsia="Arial" w:hAnsi="Arial"/>
          <w:sz w:val="20"/>
          <w:szCs w:val="20"/>
          <w:color w:val="3C3C3C"/>
        </w:rPr>
        <w:t xml:space="preserve"> that each Additional Carrier may (either prior to the date hereof or thereafter) identify certain New Allocable Lenders interested in and appropriate for participation in the Program and, if (in the good faith and reasonable determination of Lenders Protection) such Additional Carrier is (or was, as the case may be) responsible, in whole or in material part, for such New Allocable Lender's participation in the Program (any such New Allocable Lender, an “</w:t>
      </w:r>
      <w:r>
        <w:rPr>
          <w:rFonts w:ascii="Arial" w:cs="Arial" w:eastAsia="Arial" w:hAnsi="Arial"/>
          <w:sz w:val="20"/>
          <w:szCs w:val="20"/>
          <w:u w:val="single" w:color="auto"/>
          <w:color w:val="3C3C3C"/>
        </w:rPr>
        <w:t>Existing Additional Carrier Lender</w:t>
      </w:r>
      <w:r>
        <w:rPr>
          <w:rFonts w:ascii="Arial" w:cs="Arial" w:eastAsia="Arial" w:hAnsi="Arial"/>
          <w:sz w:val="20"/>
          <w:szCs w:val="20"/>
          <w:color w:val="3C3C3C"/>
        </w:rPr>
        <w:t>”), the Insured Loans issued by such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7</w:t>
      </w:r>
    </w:p>
    <w:p>
      <w:pPr>
        <w:sectPr>
          <w:pgSz w:w="11900" w:h="16838" w:orient="portrait"/>
          <w:cols w:equalWidth="0" w:num="1">
            <w:col w:w="11020"/>
          </w:cols>
          <w:pgMar w:left="440" w:top="1308" w:right="439" w:bottom="1440" w:gutter="0" w:footer="0" w:header="0"/>
        </w:sectPr>
      </w:pPr>
    </w:p>
    <w:bookmarkStart w:id="40" w:name="page41"/>
    <w:bookmarkEnd w:id="40"/>
    <w:p>
      <w:pPr>
        <w:jc w:val="both"/>
        <w:spacing w:after="0" w:line="213" w:lineRule="auto"/>
        <w:rPr>
          <w:sz w:val="20"/>
          <w:szCs w:val="20"/>
          <w:color w:val="auto"/>
        </w:rPr>
      </w:pPr>
      <w:r>
        <w:rPr>
          <w:rFonts w:ascii="Arial" w:cs="Arial" w:eastAsia="Arial" w:hAnsi="Arial"/>
          <w:sz w:val="20"/>
          <w:szCs w:val="20"/>
          <w:color w:val="3C3C3C"/>
        </w:rPr>
        <w:t xml:space="preserve">Additional Carrier Lender will, first, at the option of the Existing Additional Carrier Lender, be issued an Additional Carrier Policy solely by such Additional Carrier. If Arch identities any New Allocable Lenders interested in and appropriate for participation in the Program and, if (in the good faith and reasonable determination of Lenders Protection) Arch is responsible, in whole or in material part, for such New Allocable Lender's participation in the Program, such New Allocable Lender will be deemed an Existing Arch Lender, and the Insured Loans issued by such Existing Arch Lender will, first, at the option of such Existing Arch Lender, be issued a Policy solely by Arch, subject to the exceptions set forth in </w:t>
      </w:r>
      <w:r>
        <w:rPr>
          <w:rFonts w:ascii="Arial" w:cs="Arial" w:eastAsia="Arial" w:hAnsi="Arial"/>
          <w:sz w:val="20"/>
          <w:szCs w:val="20"/>
          <w:u w:val="single" w:color="auto"/>
          <w:color w:val="3C3C3C"/>
        </w:rPr>
        <w:t>Section 3.3(a)(ii)</w:t>
      </w:r>
      <w:r>
        <w:rPr>
          <w:rFonts w:ascii="Arial" w:cs="Arial" w:eastAsia="Arial" w:hAnsi="Arial"/>
          <w:sz w:val="20"/>
          <w:szCs w:val="20"/>
          <w:color w:val="3C3C3C"/>
        </w:rPr>
        <w:t xml:space="preserve"> hereof. In all determinations by Lenders Protection as to whether a New Allocable Lender should be deemed to be an Existing Additional Carrier Lender or an Existing Arch Lender. Lenders Protection agrees that such determinations will be made in a good faith and in a reasonable manner (following consultation with Arch wherever appropriate) and confirmed by a written notice from Lenders Protection to Arch setting forth in reasonable detail the basis for such determination.</w:t>
      </w:r>
    </w:p>
    <w:p>
      <w:pPr>
        <w:spacing w:after="0" w:line="2" w:lineRule="exact"/>
        <w:rPr>
          <w:sz w:val="20"/>
          <w:szCs w:val="20"/>
          <w:color w:val="auto"/>
        </w:rPr>
      </w:pPr>
    </w:p>
    <w:p>
      <w:pPr>
        <w:jc w:val="both"/>
        <w:ind w:left="-100" w:firstLine="2033"/>
        <w:spacing w:after="0" w:line="225" w:lineRule="auto"/>
        <w:tabs>
          <w:tab w:leader="none" w:pos="2450" w:val="left"/>
        </w:tabs>
        <w:numPr>
          <w:ilvl w:val="1"/>
          <w:numId w:val="22"/>
        </w:numPr>
        <w:rPr>
          <w:rFonts w:ascii="Arial" w:cs="Arial" w:eastAsia="Arial" w:hAnsi="Arial"/>
          <w:sz w:val="19"/>
          <w:szCs w:val="19"/>
          <w:color w:val="3C3C3C"/>
        </w:rPr>
      </w:pPr>
      <w:r>
        <w:rPr>
          <w:rFonts w:ascii="Arial" w:cs="Arial" w:eastAsia="Arial" w:hAnsi="Arial"/>
          <w:sz w:val="19"/>
          <w:szCs w:val="19"/>
          <w:color w:val="3C3C3C"/>
        </w:rPr>
        <w:t xml:space="preserve">Lenders Protection shall attempt, in good faith and by use of commercially reasonable efforts, to (A) allocate, to the extent reasonably practicable, applications for Insured Loans to be issued by each New Allocable Lender (other than any New Allocable Lender that shall be deemed an Existing Additional Carrier Lender or an Existing Arch Lender, as the case may be) to comply with the Target Allocation and (B) maintain, to the extent reasonably practicable, the Target Allocation. In furtherance of the foregoing, Lenders Protection shall allocate applications for Insured Loans issued by each New Allocable Lender (other than any New Allocable Lender that shall be deemed an Existing Additional Carrier Lender or an Existing Arch Lender, as the case may be) on an alternating basis relative to time of application and relative to the Target Allocation or in accordance with another methodology determined by Lenders Protection that is reasonably designed to provide for Insured Loans from such New Allocable Lenders that would be covered under a Policy issued by Arch to be substantially similar in the aggregate, in principal amount and other quantitative and qualitative loan, credit and borrower criteria to Insured Loans from such New Allocable Lenders that would be covered under one or more Additional Carrier Policies issued by Additional Carrier(s), in both cases so as to give effect to the Target Allocation. For purposes of providing absolute clarity hereto, the Parties agree and acknowledge that Lenders Protection shall not have any liability in the event that Arch does not actually receive the Target Allocation of applications for Insured Loans (it being agreed and understood that liability shall only occur if Lenders Protection does not use commercially reasonable efforts to achieve (and maintain), to the extent reasonably practicable, the Target Allocation in accordance with this </w:t>
      </w:r>
      <w:r>
        <w:rPr>
          <w:rFonts w:ascii="Arial" w:cs="Arial" w:eastAsia="Arial" w:hAnsi="Arial"/>
          <w:sz w:val="19"/>
          <w:szCs w:val="19"/>
          <w:u w:val="single" w:color="auto"/>
          <w:color w:val="3C3C3C"/>
        </w:rPr>
        <w:t>Section 3.3(b)(ii)</w:t>
      </w:r>
      <w:r>
        <w:rPr>
          <w:rFonts w:ascii="Arial" w:cs="Arial" w:eastAsia="Arial" w:hAnsi="Arial"/>
          <w:sz w:val="19"/>
          <w:szCs w:val="19"/>
          <w:color w:val="3C3C3C"/>
        </w:rPr>
        <w:t>.</w:t>
      </w:r>
    </w:p>
    <w:p>
      <w:pPr>
        <w:spacing w:after="0" w:line="271" w:lineRule="exact"/>
        <w:rPr>
          <w:rFonts w:ascii="Arial" w:cs="Arial" w:eastAsia="Arial" w:hAnsi="Arial"/>
          <w:sz w:val="19"/>
          <w:szCs w:val="19"/>
          <w:color w:val="3C3C3C"/>
        </w:rPr>
      </w:pPr>
    </w:p>
    <w:p>
      <w:pPr>
        <w:jc w:val="both"/>
        <w:ind w:left="-100" w:firstLine="2033"/>
        <w:spacing w:after="0" w:line="213" w:lineRule="auto"/>
        <w:tabs>
          <w:tab w:leader="none" w:pos="2458" w:val="left"/>
        </w:tabs>
        <w:numPr>
          <w:ilvl w:val="1"/>
          <w:numId w:val="22"/>
        </w:numPr>
        <w:rPr>
          <w:rFonts w:ascii="Arial" w:cs="Arial" w:eastAsia="Arial" w:hAnsi="Arial"/>
          <w:sz w:val="21"/>
          <w:szCs w:val="21"/>
          <w:color w:val="3C3C3C"/>
        </w:rPr>
      </w:pPr>
      <w:r>
        <w:rPr>
          <w:rFonts w:ascii="Arial" w:cs="Arial" w:eastAsia="Arial" w:hAnsi="Arial"/>
          <w:sz w:val="21"/>
          <w:szCs w:val="21"/>
          <w:color w:val="3C3C3C"/>
        </w:rPr>
        <w:t xml:space="preserve">Notwithstanding anything to the contrary in </w:t>
      </w:r>
      <w:r>
        <w:rPr>
          <w:rFonts w:ascii="Arial" w:cs="Arial" w:eastAsia="Arial" w:hAnsi="Arial"/>
          <w:sz w:val="21"/>
          <w:szCs w:val="21"/>
          <w:u w:val="single" w:color="auto"/>
          <w:color w:val="3C3C3C"/>
        </w:rPr>
        <w:t>Section 3.3(b)(ii)</w:t>
      </w:r>
      <w:r>
        <w:rPr>
          <w:rFonts w:ascii="Arial" w:cs="Arial" w:eastAsia="Arial" w:hAnsi="Arial"/>
          <w:sz w:val="21"/>
          <w:szCs w:val="21"/>
          <w:color w:val="3C3C3C"/>
        </w:rPr>
        <w:t>, if Arch fails or refuses to issue Policies, or cancels an existing Policy, to any New Allocable Lender, then Lenders Protection may allocate applications for Insured Loans from the applicable New Allocable Lender to an Additional Carrier. Additionally, in the event an Additional Carrier fails or refuses to issue Policies, or cancels an existing Policy, to any New Allocable Lender, then Lenders Protection may allocate applications for Insured Loans from the applicable New Allocable Lender to Arch.</w:t>
      </w:r>
    </w:p>
    <w:p>
      <w:pPr>
        <w:spacing w:after="0" w:line="183" w:lineRule="exact"/>
        <w:rPr>
          <w:rFonts w:ascii="Arial" w:cs="Arial" w:eastAsia="Arial" w:hAnsi="Arial"/>
          <w:sz w:val="21"/>
          <w:szCs w:val="21"/>
          <w:color w:val="3C3C3C"/>
        </w:rPr>
      </w:pPr>
    </w:p>
    <w:p>
      <w:pPr>
        <w:jc w:val="both"/>
        <w:ind w:left="-100" w:firstLine="1385"/>
        <w:spacing w:after="0" w:line="230" w:lineRule="auto"/>
        <w:tabs>
          <w:tab w:leader="none" w:pos="1794" w:val="left"/>
        </w:tabs>
        <w:numPr>
          <w:ilvl w:val="0"/>
          <w:numId w:val="23"/>
        </w:numPr>
        <w:rPr>
          <w:rFonts w:ascii="Arial" w:cs="Arial" w:eastAsia="Arial" w:hAnsi="Arial"/>
          <w:sz w:val="19"/>
          <w:szCs w:val="19"/>
          <w:color w:val="3C3C3C"/>
        </w:rPr>
      </w:pPr>
      <w:r>
        <w:rPr>
          <w:rFonts w:ascii="Arial" w:cs="Arial" w:eastAsia="Arial" w:hAnsi="Arial"/>
          <w:sz w:val="19"/>
          <w:szCs w:val="19"/>
          <w:u w:val="single" w:color="auto"/>
          <w:color w:val="3C3C3C"/>
        </w:rPr>
        <w:t>Information and Consultation Regarding Allocation of New Allocable Lenders</w:t>
      </w:r>
      <w:r>
        <w:rPr>
          <w:rFonts w:ascii="Arial" w:cs="Arial" w:eastAsia="Arial" w:hAnsi="Arial"/>
          <w:sz w:val="19"/>
          <w:szCs w:val="19"/>
          <w:color w:val="3C3C3C"/>
        </w:rPr>
        <w:t>. Within [***] following each Measurement Date, Lenders Protection will provide Arch with a written report (“</w:t>
      </w:r>
      <w:r>
        <w:rPr>
          <w:rFonts w:ascii="Arial" w:cs="Arial" w:eastAsia="Arial" w:hAnsi="Arial"/>
          <w:sz w:val="19"/>
          <w:szCs w:val="19"/>
          <w:u w:val="single" w:color="auto"/>
          <w:color w:val="3C3C3C"/>
        </w:rPr>
        <w:t>New Allocable Lender Allocation Report</w:t>
      </w:r>
      <w:r>
        <w:rPr>
          <w:rFonts w:ascii="Arial" w:cs="Arial" w:eastAsia="Arial" w:hAnsi="Arial"/>
          <w:sz w:val="19"/>
          <w:szCs w:val="19"/>
          <w:color w:val="3C3C3C"/>
        </w:rPr>
        <w:t>”) setting forth in reasonable detail a summary of the following information for each of the [***] immediately preceding the applicable Measurement Date (“</w:t>
      </w:r>
      <w:r>
        <w:rPr>
          <w:rFonts w:ascii="Arial" w:cs="Arial" w:eastAsia="Arial" w:hAnsi="Arial"/>
          <w:sz w:val="19"/>
          <w:szCs w:val="19"/>
          <w:u w:val="single" w:color="auto"/>
          <w:color w:val="3C3C3C"/>
        </w:rPr>
        <w:t>Review Period</w:t>
      </w:r>
      <w:r>
        <w:rPr>
          <w:rFonts w:ascii="Arial" w:cs="Arial" w:eastAsia="Arial" w:hAnsi="Arial"/>
          <w:sz w:val="19"/>
          <w:szCs w:val="19"/>
          <w:color w:val="3C3C3C"/>
        </w:rPr>
        <w:t xml:space="preserve">”): (i) each Existing Arch Lender and the number of applications for Insured Loans allocated to Arch and the number of Insured Loans covered under a Policy issued or arranged by Arch for such Existing Arch Lender during each calendar year during the Review Period; (ii) each Existing Additional Carrier Lender (name and other confidential </w:t>
      </w:r>
      <w:r>
        <w:rPr>
          <w:rFonts w:ascii="Arial" w:cs="Arial" w:eastAsia="Arial" w:hAnsi="Arial"/>
          <w:sz w:val="17"/>
          <w:szCs w:val="17"/>
          <w:color w:val="3C3C3C"/>
        </w:rPr>
        <w:t>information</w:t>
      </w:r>
      <w:r>
        <w:rPr>
          <w:rFonts w:ascii="Arial" w:cs="Arial" w:eastAsia="Arial" w:hAnsi="Arial"/>
          <w:sz w:val="19"/>
          <w:szCs w:val="19"/>
          <w:color w:val="3C3C3C"/>
        </w:rPr>
        <w:t xml:space="preserve"> </w:t>
      </w:r>
      <w:r>
        <w:rPr>
          <w:rFonts w:ascii="Arial" w:cs="Arial" w:eastAsia="Arial" w:hAnsi="Arial"/>
          <w:sz w:val="17"/>
          <w:szCs w:val="17"/>
          <w:color w:val="3C3C3C"/>
        </w:rPr>
        <w:t>redacted) and the number of applications for Insured Loans allocated to such Additional Carrier and the number of Insured Loans covered under an Additional Carrier Policy issued or arranged by on Additional Carrier for such Existing Additional Carrier Lender during each calendar year during the Review Period; (iii) the number of applications for Insured Loans allocated to Arch and the number of Insured Loans covered under a Policy issued or arranged by Arch for New Allocable Lenders during each calendar year during the Review Period; and (iv) the number of applications for Insured Loans allocated to Additional Carriers and the number of Insured Loans covered under an Additional Carrier Policy issued or arranged by an Additional Carrier for New Allocable Lenders during each calendar year during the Review Period (name and other confidential information redacted). In addition and at Arch's sole cost and expense, Lenders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 8</w:t>
      </w:r>
    </w:p>
    <w:p>
      <w:pPr>
        <w:sectPr>
          <w:pgSz w:w="11900" w:h="16838" w:orient="portrait"/>
          <w:cols w:equalWidth="0" w:num="1">
            <w:col w:w="11040"/>
          </w:cols>
          <w:pgMar w:left="420" w:top="1395" w:right="439" w:bottom="1440" w:gutter="0" w:footer="0" w:header="0"/>
        </w:sectPr>
      </w:pPr>
    </w:p>
    <w:bookmarkStart w:id="41" w:name="page42"/>
    <w:bookmarkEnd w:id="41"/>
    <w:p>
      <w:pPr>
        <w:jc w:val="both"/>
        <w:spacing w:after="0" w:line="210" w:lineRule="auto"/>
        <w:rPr>
          <w:sz w:val="20"/>
          <w:szCs w:val="20"/>
          <w:color w:val="auto"/>
        </w:rPr>
      </w:pPr>
      <w:r>
        <w:rPr>
          <w:rFonts w:ascii="Arial" w:cs="Arial" w:eastAsia="Arial" w:hAnsi="Arial"/>
          <w:sz w:val="20"/>
          <w:szCs w:val="20"/>
          <w:color w:val="3C3C3C"/>
        </w:rPr>
        <w:t xml:space="preserve">shall from time to time consult in good faith with Arch, make available to Arch (during normal business hours and upon reasonable prior notice) any Program Files, and permit Arch to exercise audit rights in accordance with </w:t>
      </w:r>
      <w:r>
        <w:rPr>
          <w:rFonts w:ascii="Arial" w:cs="Arial" w:eastAsia="Arial" w:hAnsi="Arial"/>
          <w:sz w:val="20"/>
          <w:szCs w:val="20"/>
          <w:u w:val="single" w:color="auto"/>
          <w:color w:val="3C3C3C"/>
        </w:rPr>
        <w:t>Section 6.2</w:t>
      </w:r>
      <w:r>
        <w:rPr>
          <w:rFonts w:ascii="Arial" w:cs="Arial" w:eastAsia="Arial" w:hAnsi="Arial"/>
          <w:sz w:val="20"/>
          <w:szCs w:val="20"/>
          <w:color w:val="3C3C3C"/>
        </w:rPr>
        <w:t xml:space="preserve">, in each case, as may be reasonably requested by Arch in connection with Arch's review of the New Allocable Lender Allocation Report and the performance by Lenders Protection under this </w:t>
      </w:r>
      <w:r>
        <w:rPr>
          <w:rFonts w:ascii="Arial" w:cs="Arial" w:eastAsia="Arial" w:hAnsi="Arial"/>
          <w:sz w:val="20"/>
          <w:szCs w:val="20"/>
          <w:u w:val="single" w:color="auto"/>
          <w:color w:val="3C3C3C"/>
        </w:rPr>
        <w:t>Section 3.3</w:t>
      </w:r>
      <w:r>
        <w:rPr>
          <w:rFonts w:ascii="Arial" w:cs="Arial" w:eastAsia="Arial" w:hAnsi="Arial"/>
          <w:sz w:val="20"/>
          <w:szCs w:val="20"/>
          <w:color w:val="3C3C3C"/>
        </w:rPr>
        <w:t xml:space="preserve">; </w:t>
      </w:r>
      <w:r>
        <w:rPr>
          <w:rFonts w:ascii="Arial" w:cs="Arial" w:eastAsia="Arial" w:hAnsi="Arial"/>
          <w:sz w:val="20"/>
          <w:szCs w:val="20"/>
          <w:u w:val="single" w:color="auto"/>
          <w:color w:val="3C3C3C"/>
        </w:rPr>
        <w:t>provided</w:t>
      </w:r>
      <w:r>
        <w:rPr>
          <w:rFonts w:ascii="Arial" w:cs="Arial" w:eastAsia="Arial" w:hAnsi="Arial"/>
          <w:sz w:val="20"/>
          <w:szCs w:val="20"/>
          <w:color w:val="3C3C3C"/>
        </w:rPr>
        <w:t xml:space="preserve">, </w:t>
      </w:r>
      <w:r>
        <w:rPr>
          <w:rFonts w:ascii="Arial" w:cs="Arial" w:eastAsia="Arial" w:hAnsi="Arial"/>
          <w:sz w:val="20"/>
          <w:szCs w:val="20"/>
          <w:u w:val="single" w:color="auto"/>
          <w:color w:val="3C3C3C"/>
        </w:rPr>
        <w:t>however</w:t>
      </w:r>
      <w:r>
        <w:rPr>
          <w:rFonts w:ascii="Arial" w:cs="Arial" w:eastAsia="Arial" w:hAnsi="Arial"/>
          <w:sz w:val="20"/>
          <w:szCs w:val="20"/>
          <w:color w:val="3C3C3C"/>
        </w:rPr>
        <w:t>, Lenders Protection shall not have any obligation to provide Arch with access to any confidential information of any third party or Lenders Protection.</w:t>
      </w:r>
    </w:p>
    <w:p>
      <w:pPr>
        <w:spacing w:after="0" w:line="179" w:lineRule="exact"/>
        <w:rPr>
          <w:sz w:val="20"/>
          <w:szCs w:val="20"/>
          <w:color w:val="auto"/>
        </w:rPr>
      </w:pPr>
    </w:p>
    <w:p>
      <w:pPr>
        <w:jc w:val="both"/>
        <w:ind w:left="100" w:firstLine="647"/>
        <w:spacing w:after="0" w:line="218" w:lineRule="auto"/>
        <w:rPr>
          <w:sz w:val="20"/>
          <w:szCs w:val="20"/>
          <w:color w:val="auto"/>
        </w:rPr>
      </w:pPr>
      <w:r>
        <w:rPr>
          <w:rFonts w:ascii="Arial" w:cs="Arial" w:eastAsia="Arial" w:hAnsi="Arial"/>
          <w:sz w:val="21"/>
          <w:szCs w:val="21"/>
          <w:b w:val="1"/>
          <w:bCs w:val="1"/>
          <w:color w:val="3C3C3C"/>
        </w:rPr>
        <w:t xml:space="preserve">Section 3.4 </w:t>
      </w:r>
      <w:r>
        <w:rPr>
          <w:rFonts w:ascii="Arial" w:cs="Arial" w:eastAsia="Arial" w:hAnsi="Arial"/>
          <w:sz w:val="21"/>
          <w:szCs w:val="21"/>
          <w:b w:val="1"/>
          <w:bCs w:val="1"/>
          <w:u w:val="single" w:color="auto"/>
          <w:color w:val="3C3C3C"/>
        </w:rPr>
        <w:t>No Additional Commitments</w:t>
      </w:r>
      <w:r>
        <w:rPr>
          <w:rFonts w:ascii="Arial" w:cs="Arial" w:eastAsia="Arial" w:hAnsi="Arial"/>
          <w:sz w:val="21"/>
          <w:szCs w:val="21"/>
          <w:color w:val="3C3C3C"/>
        </w:rPr>
        <w:t>. Arch acknowledges and agrees that Lenders Protection would not have entered</w:t>
      </w:r>
      <w:r>
        <w:rPr>
          <w:rFonts w:ascii="Arial" w:cs="Arial" w:eastAsia="Arial" w:hAnsi="Arial"/>
          <w:sz w:val="21"/>
          <w:szCs w:val="21"/>
          <w:b w:val="1"/>
          <w:bCs w:val="1"/>
          <w:color w:val="3C3C3C"/>
        </w:rPr>
        <w:t xml:space="preserve"> </w:t>
      </w:r>
      <w:r>
        <w:rPr>
          <w:rFonts w:ascii="Arial" w:cs="Arial" w:eastAsia="Arial" w:hAnsi="Arial"/>
          <w:sz w:val="21"/>
          <w:szCs w:val="21"/>
          <w:color w:val="3C3C3C"/>
        </w:rPr>
        <w:t xml:space="preserve">into this Agreement with Arch (nor requested that Arch provide Policies under the Program after the Effective Date) but for Arch's assurances herein provided. The Parties hereto acknowledge and agree that, except as provided in this </w:t>
      </w:r>
      <w:r>
        <w:rPr>
          <w:rFonts w:ascii="Arial" w:cs="Arial" w:eastAsia="Arial" w:hAnsi="Arial"/>
          <w:sz w:val="21"/>
          <w:szCs w:val="21"/>
          <w:u w:val="single" w:color="auto"/>
          <w:color w:val="3C3C3C"/>
        </w:rPr>
        <w:t>Article 3</w:t>
      </w:r>
      <w:r>
        <w:rPr>
          <w:rFonts w:ascii="Arial" w:cs="Arial" w:eastAsia="Arial" w:hAnsi="Arial"/>
          <w:sz w:val="21"/>
          <w:szCs w:val="21"/>
          <w:color w:val="3C3C3C"/>
        </w:rPr>
        <w:t>, no other commitments of exclusivity are intended, expressed or implied.</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3B3B3B"/>
        </w:rPr>
        <w:t>ARTICLE 4</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u w:val="single" w:color="auto"/>
          <w:color w:val="3B3B3B"/>
        </w:rPr>
        <w:t>ISSUANCE OF POLICIES; PROFIT SHARE</w:t>
      </w:r>
    </w:p>
    <w:p>
      <w:pPr>
        <w:spacing w:after="0" w:line="299" w:lineRule="exact"/>
        <w:rPr>
          <w:sz w:val="20"/>
          <w:szCs w:val="20"/>
          <w:color w:val="auto"/>
        </w:rPr>
      </w:pPr>
    </w:p>
    <w:p>
      <w:pPr>
        <w:jc w:val="both"/>
        <w:ind w:left="100" w:firstLine="647"/>
        <w:spacing w:after="0" w:line="209" w:lineRule="auto"/>
        <w:rPr>
          <w:sz w:val="20"/>
          <w:szCs w:val="20"/>
          <w:color w:val="auto"/>
        </w:rPr>
      </w:pPr>
      <w:r>
        <w:rPr>
          <w:rFonts w:ascii="Arial" w:cs="Arial" w:eastAsia="Arial" w:hAnsi="Arial"/>
          <w:sz w:val="21"/>
          <w:szCs w:val="21"/>
          <w:b w:val="1"/>
          <w:bCs w:val="1"/>
          <w:color w:val="3B3B3B"/>
        </w:rPr>
        <w:t xml:space="preserve">Section 4.1 </w:t>
      </w:r>
      <w:r>
        <w:rPr>
          <w:rFonts w:ascii="Arial" w:cs="Arial" w:eastAsia="Arial" w:hAnsi="Arial"/>
          <w:sz w:val="21"/>
          <w:szCs w:val="21"/>
          <w:b w:val="1"/>
          <w:bCs w:val="1"/>
          <w:u w:val="single" w:color="auto"/>
          <w:color w:val="3B3B3B"/>
        </w:rPr>
        <w:t>Carrier Rating: Issuance of Policies</w:t>
      </w:r>
      <w:r>
        <w:rPr>
          <w:rFonts w:ascii="Arial" w:cs="Arial" w:eastAsia="Arial" w:hAnsi="Arial"/>
          <w:sz w:val="21"/>
          <w:szCs w:val="21"/>
          <w:color w:val="3B3B3B"/>
        </w:rPr>
        <w:t>. At all times during the Term hereof, Arch (or a designee) shall, as a</w:t>
      </w:r>
      <w:r>
        <w:rPr>
          <w:rFonts w:ascii="Arial" w:cs="Arial" w:eastAsia="Arial" w:hAnsi="Arial"/>
          <w:sz w:val="21"/>
          <w:szCs w:val="21"/>
          <w:b w:val="1"/>
          <w:bCs w:val="1"/>
          <w:color w:val="3B3B3B"/>
        </w:rPr>
        <w:t xml:space="preserve"> </w:t>
      </w:r>
      <w:r>
        <w:rPr>
          <w:rFonts w:ascii="Arial" w:cs="Arial" w:eastAsia="Arial" w:hAnsi="Arial"/>
          <w:sz w:val="21"/>
          <w:szCs w:val="21"/>
          <w:color w:val="3B3B3B"/>
        </w:rPr>
        <w:t>material performance obligation hereunder, cause the issuance of Policies, from a carrier with an “A-” or better A.M. Best rating, to all financial institutions who have</w:t>
      </w:r>
    </w:p>
    <w:p>
      <w:pPr>
        <w:spacing w:after="0" w:line="1" w:lineRule="exact"/>
        <w:rPr>
          <w:sz w:val="20"/>
          <w:szCs w:val="20"/>
          <w:color w:val="auto"/>
        </w:rPr>
      </w:pPr>
    </w:p>
    <w:p>
      <w:pPr>
        <w:ind w:left="100" w:hanging="2"/>
        <w:spacing w:after="0" w:line="223" w:lineRule="auto"/>
        <w:tabs>
          <w:tab w:leader="none" w:pos="396" w:val="left"/>
        </w:tabs>
        <w:numPr>
          <w:ilvl w:val="0"/>
          <w:numId w:val="24"/>
        </w:numPr>
        <w:rPr>
          <w:rFonts w:ascii="Arial" w:cs="Arial" w:eastAsia="Arial" w:hAnsi="Arial"/>
          <w:sz w:val="21"/>
          <w:szCs w:val="21"/>
          <w:color w:val="3B3B3B"/>
        </w:rPr>
      </w:pPr>
      <w:r>
        <w:rPr>
          <w:rFonts w:ascii="Arial" w:cs="Arial" w:eastAsia="Arial" w:hAnsi="Arial"/>
          <w:sz w:val="21"/>
          <w:szCs w:val="21"/>
          <w:color w:val="3B3B3B"/>
        </w:rPr>
        <w:t>entered into a Program Agreement, (b) otherwise completed any necessary documentation reasonably required by Arch and (c) have met all Arch Underwriting Guidelines.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3B3B3B"/>
        </w:rPr>
        <w:t xml:space="preserve">Section 4.2 </w:t>
      </w:r>
      <w:r>
        <w:rPr>
          <w:rFonts w:ascii="Arial" w:cs="Arial" w:eastAsia="Arial" w:hAnsi="Arial"/>
          <w:sz w:val="21"/>
          <w:szCs w:val="21"/>
          <w:color w:val="3B3B3B"/>
        </w:rPr>
        <w:t>[***]</w:t>
      </w:r>
    </w:p>
    <w:p>
      <w:pPr>
        <w:spacing w:after="0" w:line="299" w:lineRule="exact"/>
        <w:rPr>
          <w:sz w:val="20"/>
          <w:szCs w:val="20"/>
          <w:color w:val="auto"/>
        </w:rPr>
      </w:pPr>
    </w:p>
    <w:p>
      <w:pPr>
        <w:jc w:val="both"/>
        <w:ind w:left="100" w:firstLine="647"/>
        <w:spacing w:after="0" w:line="218" w:lineRule="auto"/>
        <w:rPr>
          <w:sz w:val="20"/>
          <w:szCs w:val="20"/>
          <w:color w:val="auto"/>
        </w:rPr>
      </w:pPr>
      <w:r>
        <w:rPr>
          <w:rFonts w:ascii="Arial" w:cs="Arial" w:eastAsia="Arial" w:hAnsi="Arial"/>
          <w:sz w:val="21"/>
          <w:szCs w:val="21"/>
          <w:b w:val="1"/>
          <w:bCs w:val="1"/>
          <w:color w:val="3B3B3B"/>
        </w:rPr>
        <w:t xml:space="preserve">Section 4.3 </w:t>
      </w:r>
      <w:r>
        <w:rPr>
          <w:rFonts w:ascii="Arial" w:cs="Arial" w:eastAsia="Arial" w:hAnsi="Arial"/>
          <w:sz w:val="21"/>
          <w:szCs w:val="21"/>
          <w:b w:val="1"/>
          <w:bCs w:val="1"/>
          <w:u w:val="single" w:color="auto"/>
          <w:color w:val="3B3B3B"/>
        </w:rPr>
        <w:t>No Guarantee of Volume</w:t>
      </w:r>
      <w:r>
        <w:rPr>
          <w:rFonts w:ascii="Arial" w:cs="Arial" w:eastAsia="Arial" w:hAnsi="Arial"/>
          <w:sz w:val="21"/>
          <w:szCs w:val="21"/>
          <w:color w:val="3B3B3B"/>
        </w:rPr>
        <w:t>. Each of the Parties hereto acknowledges and agrees that the terms and provisions</w:t>
      </w:r>
      <w:r>
        <w:rPr>
          <w:rFonts w:ascii="Arial" w:cs="Arial" w:eastAsia="Arial" w:hAnsi="Arial"/>
          <w:sz w:val="21"/>
          <w:szCs w:val="21"/>
          <w:b w:val="1"/>
          <w:bCs w:val="1"/>
          <w:color w:val="3B3B3B"/>
        </w:rPr>
        <w:t xml:space="preserve"> </w:t>
      </w:r>
      <w:r>
        <w:rPr>
          <w:rFonts w:ascii="Arial" w:cs="Arial" w:eastAsia="Arial" w:hAnsi="Arial"/>
          <w:sz w:val="21"/>
          <w:szCs w:val="21"/>
          <w:color w:val="3B3B3B"/>
        </w:rPr>
        <w:t xml:space="preserve">hereof (including those set forth on </w:t>
      </w:r>
      <w:r>
        <w:rPr>
          <w:rFonts w:ascii="Arial" w:cs="Arial" w:eastAsia="Arial" w:hAnsi="Arial"/>
          <w:sz w:val="21"/>
          <w:szCs w:val="21"/>
          <w:u w:val="single" w:color="auto"/>
          <w:color w:val="3B3B3B"/>
        </w:rPr>
        <w:t>Schedule B</w:t>
      </w:r>
      <w:r>
        <w:rPr>
          <w:rFonts w:ascii="Arial" w:cs="Arial" w:eastAsia="Arial" w:hAnsi="Arial"/>
          <w:sz w:val="21"/>
          <w:szCs w:val="21"/>
          <w:color w:val="3B3B3B"/>
        </w:rPr>
        <w:t>), have been negotiated at arm’s length and that neither Lenders Protection nor any of its representatives, Affiliates or agents has made any predictions, assurances or guarantees with respect to the number of Policies to be issued under the Program during the Term, if any.</w:t>
      </w:r>
    </w:p>
    <w:p>
      <w:pPr>
        <w:spacing w:after="0" w:line="176" w:lineRule="exact"/>
        <w:rPr>
          <w:sz w:val="20"/>
          <w:szCs w:val="20"/>
          <w:color w:val="auto"/>
        </w:rPr>
      </w:pPr>
    </w:p>
    <w:p>
      <w:pPr>
        <w:jc w:val="both"/>
        <w:ind w:left="100" w:firstLine="647"/>
        <w:spacing w:after="0" w:line="218" w:lineRule="auto"/>
        <w:rPr>
          <w:sz w:val="20"/>
          <w:szCs w:val="20"/>
          <w:color w:val="auto"/>
        </w:rPr>
      </w:pPr>
      <w:r>
        <w:rPr>
          <w:rFonts w:ascii="Arial" w:cs="Arial" w:eastAsia="Arial" w:hAnsi="Arial"/>
          <w:sz w:val="20"/>
          <w:szCs w:val="20"/>
          <w:b w:val="1"/>
          <w:bCs w:val="1"/>
          <w:color w:val="3B3B3B"/>
        </w:rPr>
        <w:t xml:space="preserve">Section 4.4 </w:t>
      </w:r>
      <w:r>
        <w:rPr>
          <w:rFonts w:ascii="Arial" w:cs="Arial" w:eastAsia="Arial" w:hAnsi="Arial"/>
          <w:sz w:val="20"/>
          <w:szCs w:val="20"/>
          <w:b w:val="1"/>
          <w:bCs w:val="1"/>
          <w:u w:val="single" w:color="auto"/>
          <w:color w:val="3B3B3B"/>
        </w:rPr>
        <w:t>SLB Agreement</w:t>
      </w:r>
      <w:r>
        <w:rPr>
          <w:rFonts w:ascii="Arial" w:cs="Arial" w:eastAsia="Arial" w:hAnsi="Arial"/>
          <w:sz w:val="20"/>
          <w:szCs w:val="20"/>
          <w:color w:val="3B3B3B"/>
        </w:rPr>
        <w:t>. Arch agrees to maintain, during the Term hereof, that separate agreement with the Surplus</w:t>
      </w:r>
      <w:r>
        <w:rPr>
          <w:rFonts w:ascii="Arial" w:cs="Arial" w:eastAsia="Arial" w:hAnsi="Arial"/>
          <w:sz w:val="20"/>
          <w:szCs w:val="20"/>
          <w:b w:val="1"/>
          <w:bCs w:val="1"/>
          <w:color w:val="3B3B3B"/>
        </w:rPr>
        <w:t xml:space="preserve"> </w:t>
      </w:r>
      <w:r>
        <w:rPr>
          <w:rFonts w:ascii="Arial" w:cs="Arial" w:eastAsia="Arial" w:hAnsi="Arial"/>
          <w:sz w:val="20"/>
          <w:szCs w:val="20"/>
          <w:color w:val="3B3B3B"/>
        </w:rPr>
        <w:t xml:space="preserve">Lines Broker attached as </w:t>
      </w:r>
      <w:r>
        <w:rPr>
          <w:rFonts w:ascii="Arial" w:cs="Arial" w:eastAsia="Arial" w:hAnsi="Arial"/>
          <w:sz w:val="20"/>
          <w:szCs w:val="20"/>
          <w:u w:val="single" w:color="auto"/>
          <w:color w:val="3B3B3B"/>
        </w:rPr>
        <w:t>Schedule C</w:t>
      </w:r>
      <w:r>
        <w:rPr>
          <w:rFonts w:ascii="Arial" w:cs="Arial" w:eastAsia="Arial" w:hAnsi="Arial"/>
          <w:sz w:val="20"/>
          <w:szCs w:val="20"/>
          <w:color w:val="3B3B3B"/>
        </w:rPr>
        <w:t xml:space="preserve"> hereto (the “</w:t>
      </w:r>
      <w:r>
        <w:rPr>
          <w:rFonts w:ascii="Arial" w:cs="Arial" w:eastAsia="Arial" w:hAnsi="Arial"/>
          <w:sz w:val="20"/>
          <w:szCs w:val="20"/>
          <w:u w:val="single" w:color="auto"/>
          <w:color w:val="3B3B3B"/>
        </w:rPr>
        <w:t>SLB Agreement</w:t>
      </w:r>
      <w:r>
        <w:rPr>
          <w:rFonts w:ascii="Arial" w:cs="Arial" w:eastAsia="Arial" w:hAnsi="Arial"/>
          <w:sz w:val="20"/>
          <w:szCs w:val="20"/>
          <w:color w:val="3B3B3B"/>
        </w:rPr>
        <w:t>”) on the terms and conditions therein reflected. Should Arch terminate the SLB Agreement pursuant to the terms thereof it (a) will provide at least [***] written notice to Lenders Protection in the event that the termination is for convenience and (b) may terminate with no notice to Lenders Protection if the basis for such termination is a material breach of the SLB Agreement (</w:t>
      </w:r>
      <w:r>
        <w:rPr>
          <w:rFonts w:ascii="Arial" w:cs="Arial" w:eastAsia="Arial" w:hAnsi="Arial"/>
          <w:sz w:val="20"/>
          <w:szCs w:val="20"/>
          <w:u w:val="single" w:color="auto"/>
          <w:color w:val="3B3B3B"/>
        </w:rPr>
        <w:t>provided</w:t>
      </w:r>
      <w:r>
        <w:rPr>
          <w:rFonts w:ascii="Arial" w:cs="Arial" w:eastAsia="Arial" w:hAnsi="Arial"/>
          <w:sz w:val="20"/>
          <w:szCs w:val="20"/>
          <w:color w:val="3B3B3B"/>
        </w:rPr>
        <w:t xml:space="preserve">, </w:t>
      </w:r>
      <w:r>
        <w:rPr>
          <w:rFonts w:ascii="Arial" w:cs="Arial" w:eastAsia="Arial" w:hAnsi="Arial"/>
          <w:sz w:val="20"/>
          <w:szCs w:val="20"/>
          <w:u w:val="single" w:color="auto"/>
          <w:color w:val="3B3B3B"/>
        </w:rPr>
        <w:t>however</w:t>
      </w:r>
      <w:r>
        <w:rPr>
          <w:rFonts w:ascii="Arial" w:cs="Arial" w:eastAsia="Arial" w:hAnsi="Arial"/>
          <w:sz w:val="20"/>
          <w:szCs w:val="20"/>
          <w:color w:val="3B3B3B"/>
        </w:rPr>
        <w:t>, Arch shall provide reasonable written notice whenever practicable). Notwithstanding the foregoing. Arch shall not, at any time during the Term hereof, amend, modify (by course of conduct or otherwise) or terminate the SLB Agreement or replace the Surplus Lines Broker without, in any such case, the prior written consent of Lenders Protection if, in any such case, the SLB Agreement, as so amended, modified or terminated or the replacement of the Surplus Lines Broker would have, or is reasonably likely to have, a materially negative financial impact on Lenders Protection.</w:t>
      </w:r>
    </w:p>
    <w:p>
      <w:pPr>
        <w:spacing w:after="0" w:line="179" w:lineRule="exact"/>
        <w:rPr>
          <w:sz w:val="20"/>
          <w:szCs w:val="20"/>
          <w:color w:val="auto"/>
        </w:rPr>
      </w:pPr>
    </w:p>
    <w:p>
      <w:pPr>
        <w:jc w:val="both"/>
        <w:ind w:left="100" w:firstLine="647"/>
        <w:spacing w:after="0" w:line="214" w:lineRule="auto"/>
        <w:rPr>
          <w:sz w:val="20"/>
          <w:szCs w:val="20"/>
          <w:color w:val="auto"/>
        </w:rPr>
      </w:pPr>
      <w:r>
        <w:rPr>
          <w:rFonts w:ascii="Arial" w:cs="Arial" w:eastAsia="Arial" w:hAnsi="Arial"/>
          <w:sz w:val="21"/>
          <w:szCs w:val="21"/>
          <w:b w:val="1"/>
          <w:bCs w:val="1"/>
          <w:color w:val="3B3B3B"/>
        </w:rPr>
        <w:t xml:space="preserve">Section 4.5 </w:t>
      </w:r>
      <w:r>
        <w:rPr>
          <w:rFonts w:ascii="Arial" w:cs="Arial" w:eastAsia="Arial" w:hAnsi="Arial"/>
          <w:sz w:val="21"/>
          <w:szCs w:val="21"/>
          <w:b w:val="1"/>
          <w:bCs w:val="1"/>
          <w:u w:val="single" w:color="auto"/>
          <w:color w:val="3B3B3B"/>
        </w:rPr>
        <w:t>Maintenance of Governmental Authorizations</w:t>
      </w:r>
      <w:r>
        <w:rPr>
          <w:rFonts w:ascii="Arial" w:cs="Arial" w:eastAsia="Arial" w:hAnsi="Arial"/>
          <w:sz w:val="21"/>
          <w:szCs w:val="21"/>
          <w:color w:val="3B3B3B"/>
        </w:rPr>
        <w:t>. Arch and, subject to</w:t>
      </w:r>
      <w:r>
        <w:rPr>
          <w:rFonts w:ascii="Arial" w:cs="Arial" w:eastAsia="Arial" w:hAnsi="Arial"/>
          <w:sz w:val="21"/>
          <w:szCs w:val="21"/>
          <w:b w:val="1"/>
          <w:bCs w:val="1"/>
          <w:color w:val="3B3B3B"/>
        </w:rPr>
        <w:t xml:space="preserve"> </w:t>
      </w:r>
      <w:r>
        <w:rPr>
          <w:rFonts w:ascii="Arial" w:cs="Arial" w:eastAsia="Arial" w:hAnsi="Arial"/>
          <w:sz w:val="21"/>
          <w:szCs w:val="21"/>
          <w:u w:val="single" w:color="auto"/>
          <w:color w:val="3B3B3B"/>
        </w:rPr>
        <w:t>Section 5.5</w:t>
      </w:r>
      <w:r>
        <w:rPr>
          <w:rFonts w:ascii="Arial" w:cs="Arial" w:eastAsia="Arial" w:hAnsi="Arial"/>
          <w:sz w:val="21"/>
          <w:szCs w:val="21"/>
          <w:color w:val="3B3B3B"/>
        </w:rPr>
        <w:t>, Lenders Protection, agree to</w:t>
      </w:r>
      <w:r>
        <w:rPr>
          <w:rFonts w:ascii="Arial" w:cs="Arial" w:eastAsia="Arial" w:hAnsi="Arial"/>
          <w:sz w:val="21"/>
          <w:szCs w:val="21"/>
          <w:b w:val="1"/>
          <w:bCs w:val="1"/>
          <w:color w:val="3B3B3B"/>
        </w:rPr>
        <w:t xml:space="preserve"> </w:t>
      </w:r>
      <w:r>
        <w:rPr>
          <w:rFonts w:ascii="Arial" w:cs="Arial" w:eastAsia="Arial" w:hAnsi="Arial"/>
          <w:sz w:val="21"/>
          <w:szCs w:val="21"/>
          <w:color w:val="3B3B3B"/>
        </w:rPr>
        <w:t>maintain, at all times during the Term hereof and at all times required by Applicable Law, all licenses, authorizations, certificates, permits and other Governmental Authority required to comply with Applicable Law and shall notify the other party immediately in writing to the extent any such licenses, authorization, certificate, permit or other Governmental Authority is suspended, revoked, cancelled, not renewed or otherwise made unavailable.</w:t>
      </w:r>
    </w:p>
    <w:p>
      <w:pPr>
        <w:spacing w:after="0" w:line="179" w:lineRule="exact"/>
        <w:rPr>
          <w:sz w:val="20"/>
          <w:szCs w:val="20"/>
          <w:color w:val="auto"/>
        </w:rPr>
      </w:pPr>
    </w:p>
    <w:p>
      <w:pPr>
        <w:jc w:val="both"/>
        <w:ind w:left="100" w:firstLine="647"/>
        <w:spacing w:after="0" w:line="212" w:lineRule="auto"/>
        <w:rPr>
          <w:sz w:val="20"/>
          <w:szCs w:val="20"/>
          <w:color w:val="auto"/>
        </w:rPr>
      </w:pPr>
      <w:r>
        <w:rPr>
          <w:rFonts w:ascii="Arial" w:cs="Arial" w:eastAsia="Arial" w:hAnsi="Arial"/>
          <w:sz w:val="21"/>
          <w:szCs w:val="21"/>
          <w:b w:val="1"/>
          <w:bCs w:val="1"/>
          <w:color w:val="3B3B3B"/>
        </w:rPr>
        <w:t xml:space="preserve">Section 4.6 </w:t>
      </w:r>
      <w:r>
        <w:rPr>
          <w:rFonts w:ascii="Arial" w:cs="Arial" w:eastAsia="Arial" w:hAnsi="Arial"/>
          <w:sz w:val="21"/>
          <w:szCs w:val="21"/>
          <w:b w:val="1"/>
          <w:bCs w:val="1"/>
          <w:u w:val="single" w:color="auto"/>
          <w:color w:val="3B3B3B"/>
        </w:rPr>
        <w:t>Claims Administration</w:t>
      </w:r>
      <w:r>
        <w:rPr>
          <w:rFonts w:ascii="Arial" w:cs="Arial" w:eastAsia="Arial" w:hAnsi="Arial"/>
          <w:sz w:val="21"/>
          <w:szCs w:val="21"/>
          <w:color w:val="3B3B3B"/>
        </w:rPr>
        <w:t>. Arch agrees that it will cause Insurer to assign certain obligations to perform claims</w:t>
      </w:r>
      <w:r>
        <w:rPr>
          <w:rFonts w:ascii="Arial" w:cs="Arial" w:eastAsia="Arial" w:hAnsi="Arial"/>
          <w:sz w:val="21"/>
          <w:szCs w:val="21"/>
          <w:b w:val="1"/>
          <w:bCs w:val="1"/>
          <w:color w:val="3B3B3B"/>
        </w:rPr>
        <w:t xml:space="preserve"> </w:t>
      </w:r>
      <w:r>
        <w:rPr>
          <w:rFonts w:ascii="Arial" w:cs="Arial" w:eastAsia="Arial" w:hAnsi="Arial"/>
          <w:sz w:val="21"/>
          <w:szCs w:val="21"/>
          <w:color w:val="3B3B3B"/>
        </w:rPr>
        <w:t xml:space="preserve">administration on Claims to Lenders Protection [***], an Affiliate of Lenders Protection, as designated by Lenders Protection, and Lenders Protection represents and warrants that the appointed party, whether it be Lenders Protection [***] shall conduct such claims administration in compliance with the terms and conditions of the [***] attached hereto as </w:t>
      </w:r>
      <w:r>
        <w:rPr>
          <w:rFonts w:ascii="Arial" w:cs="Arial" w:eastAsia="Arial" w:hAnsi="Arial"/>
          <w:sz w:val="21"/>
          <w:szCs w:val="21"/>
          <w:u w:val="single" w:color="auto"/>
          <w:color w:val="3B3B3B"/>
        </w:rPr>
        <w:t>Schedule D</w:t>
      </w:r>
      <w:r>
        <w:rPr>
          <w:rFonts w:ascii="Arial" w:cs="Arial" w:eastAsia="Arial" w:hAnsi="Arial"/>
          <w:sz w:val="21"/>
          <w:szCs w:val="21"/>
          <w:color w:val="3B3B3B"/>
        </w:rPr>
        <w:t>. Arch agrees that, in the event Lenders Protection [***] (as the case may be) breaches the provisions of said [***], Arch may pursue any direct, actual, out-of-pocket loss (a “</w:t>
      </w:r>
      <w:r>
        <w:rPr>
          <w:rFonts w:ascii="Arial" w:cs="Arial" w:eastAsia="Arial" w:hAnsi="Arial"/>
          <w:sz w:val="21"/>
          <w:szCs w:val="21"/>
          <w:u w:val="single" w:color="auto"/>
          <w:color w:val="3B3B3B"/>
        </w:rPr>
        <w:t>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Page | 9</w:t>
      </w:r>
    </w:p>
    <w:p>
      <w:pPr>
        <w:sectPr>
          <w:pgSz w:w="11900" w:h="16838" w:orient="portrait"/>
          <w:cols w:equalWidth="0" w:num="1">
            <w:col w:w="11140"/>
          </w:cols>
          <w:pgMar w:left="320" w:top="1311" w:right="439" w:bottom="1440" w:gutter="0" w:footer="0" w:header="0"/>
        </w:sectPr>
      </w:pPr>
    </w:p>
    <w:bookmarkStart w:id="42" w:name="page43"/>
    <w:bookmarkEnd w:id="42"/>
    <w:p>
      <w:pPr>
        <w:jc w:val="both"/>
        <w:ind w:left="2"/>
        <w:spacing w:after="0" w:line="221" w:lineRule="auto"/>
        <w:rPr>
          <w:sz w:val="20"/>
          <w:szCs w:val="20"/>
          <w:color w:val="auto"/>
        </w:rPr>
      </w:pPr>
      <w:r>
        <w:rPr>
          <w:rFonts w:ascii="Arial" w:cs="Arial" w:eastAsia="Arial" w:hAnsi="Arial"/>
          <w:sz w:val="21"/>
          <w:szCs w:val="21"/>
          <w:u w:val="single" w:color="auto"/>
          <w:color w:val="3B3B3B"/>
        </w:rPr>
        <w:t>Loss</w:t>
      </w:r>
      <w:r>
        <w:rPr>
          <w:rFonts w:ascii="Arial" w:cs="Arial" w:eastAsia="Arial" w:hAnsi="Arial"/>
          <w:sz w:val="21"/>
          <w:szCs w:val="21"/>
          <w:color w:val="3B3B3B"/>
        </w:rPr>
        <w:t>”') related to such breach of such [***], subject to all other terms and provisions of the [***] and this Agreement; it being understood that in no instance shall Arch be able to obtain any consequential, incidental, special, exemplary, remote or punitive damages or any damages based on diminution in value, lost profits or business interruption.</w:t>
      </w:r>
    </w:p>
    <w:p>
      <w:pPr>
        <w:spacing w:after="0" w:line="191" w:lineRule="exact"/>
        <w:rPr>
          <w:sz w:val="20"/>
          <w:szCs w:val="20"/>
          <w:color w:val="auto"/>
        </w:rPr>
      </w:pPr>
    </w:p>
    <w:p>
      <w:pPr>
        <w:jc w:val="center"/>
        <w:ind w:right="-1"/>
        <w:spacing w:after="0"/>
        <w:rPr>
          <w:sz w:val="20"/>
          <w:szCs w:val="20"/>
          <w:color w:val="auto"/>
        </w:rPr>
      </w:pPr>
      <w:r>
        <w:rPr>
          <w:rFonts w:ascii="Arial" w:cs="Arial" w:eastAsia="Arial" w:hAnsi="Arial"/>
          <w:sz w:val="21"/>
          <w:szCs w:val="21"/>
          <w:b w:val="1"/>
          <w:bCs w:val="1"/>
          <w:color w:val="3B3B3B"/>
        </w:rPr>
        <w:t>ARTICLE 5</w:t>
      </w:r>
    </w:p>
    <w:p>
      <w:pPr>
        <w:spacing w:after="0" w:line="204" w:lineRule="exact"/>
        <w:rPr>
          <w:sz w:val="20"/>
          <w:szCs w:val="20"/>
          <w:color w:val="auto"/>
        </w:rPr>
      </w:pPr>
    </w:p>
    <w:p>
      <w:pPr>
        <w:jc w:val="center"/>
        <w:ind w:right="-1"/>
        <w:spacing w:after="0"/>
        <w:rPr>
          <w:sz w:val="20"/>
          <w:szCs w:val="20"/>
          <w:color w:val="auto"/>
        </w:rPr>
      </w:pPr>
      <w:r>
        <w:rPr>
          <w:rFonts w:ascii="Arial" w:cs="Arial" w:eastAsia="Arial" w:hAnsi="Arial"/>
          <w:sz w:val="21"/>
          <w:szCs w:val="21"/>
          <w:b w:val="1"/>
          <w:bCs w:val="1"/>
          <w:u w:val="single" w:color="auto"/>
          <w:color w:val="3B3B3B"/>
        </w:rPr>
        <w:t>LENDERS PROTECTION SERVICES</w:t>
      </w:r>
    </w:p>
    <w:p>
      <w:pPr>
        <w:spacing w:after="0" w:line="299" w:lineRule="exact"/>
        <w:rPr>
          <w:sz w:val="20"/>
          <w:szCs w:val="20"/>
          <w:color w:val="auto"/>
        </w:rPr>
      </w:pPr>
    </w:p>
    <w:p>
      <w:pPr>
        <w:jc w:val="both"/>
        <w:ind w:left="2" w:firstLine="647"/>
        <w:spacing w:after="0" w:line="209" w:lineRule="auto"/>
        <w:rPr>
          <w:sz w:val="20"/>
          <w:szCs w:val="20"/>
          <w:color w:val="auto"/>
        </w:rPr>
      </w:pPr>
      <w:r>
        <w:rPr>
          <w:rFonts w:ascii="Arial" w:cs="Arial" w:eastAsia="Arial" w:hAnsi="Arial"/>
          <w:sz w:val="21"/>
          <w:szCs w:val="21"/>
          <w:b w:val="1"/>
          <w:bCs w:val="1"/>
          <w:color w:val="3B3B3B"/>
        </w:rPr>
        <w:t xml:space="preserve">Section 5.1 </w:t>
      </w:r>
      <w:r>
        <w:rPr>
          <w:rFonts w:ascii="Arial" w:cs="Arial" w:eastAsia="Arial" w:hAnsi="Arial"/>
          <w:sz w:val="21"/>
          <w:szCs w:val="21"/>
          <w:b w:val="1"/>
          <w:bCs w:val="1"/>
          <w:u w:val="single" w:color="auto"/>
          <w:color w:val="3B3B3B"/>
        </w:rPr>
        <w:t>Administrative Support</w:t>
      </w:r>
      <w:r>
        <w:rPr>
          <w:rFonts w:ascii="Arial" w:cs="Arial" w:eastAsia="Arial" w:hAnsi="Arial"/>
          <w:sz w:val="21"/>
          <w:szCs w:val="21"/>
          <w:color w:val="3B3B3B"/>
        </w:rPr>
        <w:t>. Lenders Protection or another provider on its behalf which Arch has approved in</w:t>
      </w:r>
      <w:r>
        <w:rPr>
          <w:rFonts w:ascii="Arial" w:cs="Arial" w:eastAsia="Arial" w:hAnsi="Arial"/>
          <w:sz w:val="21"/>
          <w:szCs w:val="21"/>
          <w:b w:val="1"/>
          <w:bCs w:val="1"/>
          <w:color w:val="3B3B3B"/>
        </w:rPr>
        <w:t xml:space="preserve"> </w:t>
      </w:r>
      <w:r>
        <w:rPr>
          <w:rFonts w:ascii="Arial" w:cs="Arial" w:eastAsia="Arial" w:hAnsi="Arial"/>
          <w:sz w:val="21"/>
          <w:szCs w:val="21"/>
          <w:color w:val="3B3B3B"/>
        </w:rPr>
        <w:t>writing, shall provide each holder of a Policy with the administrative support services required to be performed under such Policy in a timely manner and in accordance with</w:t>
      </w:r>
    </w:p>
    <w:p>
      <w:pPr>
        <w:spacing w:after="0" w:line="1" w:lineRule="exact"/>
        <w:rPr>
          <w:sz w:val="20"/>
          <w:szCs w:val="20"/>
          <w:color w:val="auto"/>
        </w:rPr>
      </w:pPr>
    </w:p>
    <w:p>
      <w:pPr>
        <w:jc w:val="both"/>
        <w:ind w:left="2" w:hanging="2"/>
        <w:spacing w:after="0" w:line="218" w:lineRule="auto"/>
        <w:tabs>
          <w:tab w:leader="none" w:pos="556" w:val="left"/>
        </w:tabs>
        <w:numPr>
          <w:ilvl w:val="0"/>
          <w:numId w:val="25"/>
        </w:numPr>
        <w:rPr>
          <w:rFonts w:ascii="Arial" w:cs="Arial" w:eastAsia="Arial" w:hAnsi="Arial"/>
          <w:sz w:val="20"/>
          <w:szCs w:val="20"/>
          <w:color w:val="3B3B3B"/>
        </w:rPr>
      </w:pPr>
      <w:r>
        <w:rPr>
          <w:rFonts w:ascii="Arial" w:cs="Arial" w:eastAsia="Arial" w:hAnsi="Arial"/>
          <w:sz w:val="20"/>
          <w:szCs w:val="20"/>
          <w:color w:val="3B3B3B"/>
        </w:rPr>
        <w:t xml:space="preserve">all the terms and conditions of such Policy (b) Arch's reasonable guidelines, rules and regulations as provided to Lenders Protection from time to time for the administration of its Policies and (c) all Applicable Laws. Arch agrees that, in the event Lenders Protection [***] (as the case may be) breaches the provisions of this </w:t>
      </w:r>
      <w:r>
        <w:rPr>
          <w:rFonts w:ascii="Arial" w:cs="Arial" w:eastAsia="Arial" w:hAnsi="Arial"/>
          <w:sz w:val="20"/>
          <w:szCs w:val="20"/>
          <w:u w:val="single" w:color="auto"/>
          <w:color w:val="3B3B3B"/>
        </w:rPr>
        <w:t>Section 5.1</w:t>
      </w:r>
      <w:r>
        <w:rPr>
          <w:rFonts w:ascii="Arial" w:cs="Arial" w:eastAsia="Arial" w:hAnsi="Arial"/>
          <w:sz w:val="20"/>
          <w:szCs w:val="20"/>
          <w:color w:val="3B3B3B"/>
        </w:rPr>
        <w:t xml:space="preserve">, Arch may pursue any Recoverable Loss related to such breach of this </w:t>
      </w:r>
      <w:r>
        <w:rPr>
          <w:rFonts w:ascii="Arial" w:cs="Arial" w:eastAsia="Arial" w:hAnsi="Arial"/>
          <w:sz w:val="20"/>
          <w:szCs w:val="20"/>
          <w:u w:val="single" w:color="auto"/>
          <w:color w:val="3B3B3B"/>
        </w:rPr>
        <w:t>Section 5.1</w:t>
      </w:r>
      <w:r>
        <w:rPr>
          <w:rFonts w:ascii="Arial" w:cs="Arial" w:eastAsia="Arial" w:hAnsi="Arial"/>
          <w:sz w:val="20"/>
          <w:szCs w:val="20"/>
          <w:color w:val="3B3B3B"/>
        </w:rPr>
        <w:t>, subject to all other terms and provisions of this Agreement; it being understood that in no instance shall Arch be able to obtain any consequential, incidental, special, exemplary, remote or punitive damages or any damages based on diminution in value, lost profits or business interruption.</w:t>
      </w:r>
    </w:p>
    <w:p>
      <w:pPr>
        <w:spacing w:after="0" w:line="181" w:lineRule="exact"/>
        <w:rPr>
          <w:sz w:val="20"/>
          <w:szCs w:val="20"/>
          <w:color w:val="auto"/>
        </w:rPr>
      </w:pPr>
    </w:p>
    <w:p>
      <w:pPr>
        <w:jc w:val="both"/>
        <w:ind w:left="2" w:firstLine="647"/>
        <w:spacing w:after="0" w:line="241" w:lineRule="auto"/>
        <w:rPr>
          <w:sz w:val="20"/>
          <w:szCs w:val="20"/>
          <w:color w:val="auto"/>
        </w:rPr>
      </w:pPr>
      <w:r>
        <w:rPr>
          <w:rFonts w:ascii="Arial" w:cs="Arial" w:eastAsia="Arial" w:hAnsi="Arial"/>
          <w:sz w:val="19"/>
          <w:szCs w:val="19"/>
          <w:b w:val="1"/>
          <w:bCs w:val="1"/>
          <w:color w:val="3B3B3B"/>
        </w:rPr>
        <w:t xml:space="preserve">Section 5.2 </w:t>
      </w:r>
      <w:r>
        <w:rPr>
          <w:rFonts w:ascii="Arial" w:cs="Arial" w:eastAsia="Arial" w:hAnsi="Arial"/>
          <w:sz w:val="19"/>
          <w:szCs w:val="19"/>
          <w:b w:val="1"/>
          <w:bCs w:val="1"/>
          <w:u w:val="single" w:color="auto"/>
          <w:color w:val="3B3B3B"/>
        </w:rPr>
        <w:t>Direct Sales; Third Party Sales</w:t>
      </w:r>
      <w:r>
        <w:rPr>
          <w:rFonts w:ascii="Arial" w:cs="Arial" w:eastAsia="Arial" w:hAnsi="Arial"/>
          <w:sz w:val="19"/>
          <w:szCs w:val="19"/>
          <w:color w:val="3B3B3B"/>
        </w:rPr>
        <w:t>. Lenders Protection shall have the right (consistent with the terms of</w:t>
      </w:r>
      <w:r>
        <w:rPr>
          <w:rFonts w:ascii="Arial" w:cs="Arial" w:eastAsia="Arial" w:hAnsi="Arial"/>
          <w:sz w:val="19"/>
          <w:szCs w:val="19"/>
          <w:b w:val="1"/>
          <w:bCs w:val="1"/>
          <w:color w:val="3B3B3B"/>
        </w:rPr>
        <w:t xml:space="preserve"> </w:t>
      </w:r>
      <w:r>
        <w:rPr>
          <w:rFonts w:ascii="Arial" w:cs="Arial" w:eastAsia="Arial" w:hAnsi="Arial"/>
          <w:sz w:val="19"/>
          <w:szCs w:val="19"/>
          <w:color w:val="3B3B3B"/>
        </w:rPr>
        <w:t xml:space="preserve">Applicable Law) to source and produce business through the Surplus Lines Broker under the Program as a subagent therefor. Lenders Protection may engage third parties to contract with the Surplus Lines Broker for the purpose of selling Policies in accordance with this Agreement; </w:t>
      </w:r>
      <w:r>
        <w:rPr>
          <w:rFonts w:ascii="Arial" w:cs="Arial" w:eastAsia="Arial" w:hAnsi="Arial"/>
          <w:sz w:val="19"/>
          <w:szCs w:val="19"/>
          <w:u w:val="single" w:color="auto"/>
          <w:color w:val="3B3B3B"/>
        </w:rPr>
        <w:t>provided</w:t>
      </w:r>
      <w:r>
        <w:rPr>
          <w:rFonts w:ascii="Arial" w:cs="Arial" w:eastAsia="Arial" w:hAnsi="Arial"/>
          <w:sz w:val="19"/>
          <w:szCs w:val="19"/>
          <w:color w:val="3B3B3B"/>
        </w:rPr>
        <w:t xml:space="preserve">, </w:t>
      </w:r>
      <w:r>
        <w:rPr>
          <w:rFonts w:ascii="Arial" w:cs="Arial" w:eastAsia="Arial" w:hAnsi="Arial"/>
          <w:sz w:val="19"/>
          <w:szCs w:val="19"/>
          <w:u w:val="single" w:color="auto"/>
          <w:color w:val="3B3B3B"/>
        </w:rPr>
        <w:t>however</w:t>
      </w:r>
      <w:r>
        <w:rPr>
          <w:rFonts w:ascii="Arial" w:cs="Arial" w:eastAsia="Arial" w:hAnsi="Arial"/>
          <w:sz w:val="19"/>
          <w:szCs w:val="19"/>
          <w:color w:val="3B3B3B"/>
        </w:rPr>
        <w:t>, that (a) Arch has consented in writing to the use and/or services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Page | 10</w:t>
      </w:r>
    </w:p>
    <w:p>
      <w:pPr>
        <w:sectPr>
          <w:pgSz w:w="11900" w:h="16838" w:orient="portrait"/>
          <w:cols w:equalWidth="0" w:num="1">
            <w:col w:w="11042"/>
          </w:cols>
          <w:pgMar w:left="418" w:top="1314" w:right="439" w:bottom="1440" w:gutter="0" w:footer="0" w:header="0"/>
        </w:sectPr>
      </w:pPr>
    </w:p>
    <w:bookmarkStart w:id="43" w:name="page44"/>
    <w:bookmarkEnd w:id="43"/>
    <w:p>
      <w:pPr>
        <w:jc w:val="both"/>
        <w:spacing w:after="0" w:line="213" w:lineRule="auto"/>
        <w:rPr>
          <w:sz w:val="20"/>
          <w:szCs w:val="20"/>
          <w:color w:val="auto"/>
        </w:rPr>
      </w:pPr>
      <w:r>
        <w:rPr>
          <w:rFonts w:ascii="Arial" w:cs="Arial" w:eastAsia="Arial" w:hAnsi="Arial"/>
          <w:sz w:val="21"/>
          <w:szCs w:val="21"/>
          <w:color w:val="3B3B3B"/>
        </w:rPr>
        <w:t>such third party, (b) said third party is licensed with Surplus Lines Broker as required by Applicable Law, and (c) Arch in its sole and absolute discretion, may suspend or terminate any such third party upon the occurrence of any of the following: (x) failure to comply with Applicable Law, (y) any material action taken, or order issued, by a Governmental Authority (including censure) that is reasonably likely to have a material negative impact on this Program, or (z) upon the occurrence of an Event of Bankruptcy of such third party.</w:t>
      </w:r>
    </w:p>
    <w:p>
      <w:pPr>
        <w:spacing w:after="0" w:line="178" w:lineRule="exact"/>
        <w:rPr>
          <w:sz w:val="20"/>
          <w:szCs w:val="20"/>
          <w:color w:val="auto"/>
        </w:rPr>
      </w:pPr>
    </w:p>
    <w:p>
      <w:pPr>
        <w:jc w:val="both"/>
        <w:ind w:firstLine="647"/>
        <w:spacing w:after="0" w:line="218" w:lineRule="auto"/>
        <w:rPr>
          <w:sz w:val="20"/>
          <w:szCs w:val="20"/>
          <w:color w:val="auto"/>
        </w:rPr>
      </w:pPr>
      <w:r>
        <w:rPr>
          <w:rFonts w:ascii="Arial" w:cs="Arial" w:eastAsia="Arial" w:hAnsi="Arial"/>
          <w:sz w:val="20"/>
          <w:szCs w:val="20"/>
          <w:b w:val="1"/>
          <w:bCs w:val="1"/>
          <w:color w:val="3B3B3B"/>
        </w:rPr>
        <w:t xml:space="preserve">Section 5.3 </w:t>
      </w:r>
      <w:r>
        <w:rPr>
          <w:rFonts w:ascii="Arial" w:cs="Arial" w:eastAsia="Arial" w:hAnsi="Arial"/>
          <w:sz w:val="20"/>
          <w:szCs w:val="20"/>
          <w:b w:val="1"/>
          <w:bCs w:val="1"/>
          <w:u w:val="single" w:color="auto"/>
          <w:color w:val="3B3B3B"/>
        </w:rPr>
        <w:t>Subcontractors</w:t>
      </w:r>
      <w:r>
        <w:rPr>
          <w:rFonts w:ascii="Arial" w:cs="Arial" w:eastAsia="Arial" w:hAnsi="Arial"/>
          <w:sz w:val="20"/>
          <w:szCs w:val="20"/>
          <w:color w:val="3B3B3B"/>
        </w:rPr>
        <w:t>. Lenders Protection shall not engage or authorize any subcontractor or other service provider to</w:t>
      </w:r>
      <w:r>
        <w:rPr>
          <w:rFonts w:ascii="Arial" w:cs="Arial" w:eastAsia="Arial" w:hAnsi="Arial"/>
          <w:sz w:val="20"/>
          <w:szCs w:val="20"/>
          <w:b w:val="1"/>
          <w:bCs w:val="1"/>
          <w:color w:val="3B3B3B"/>
        </w:rPr>
        <w:t xml:space="preserve"> </w:t>
      </w:r>
      <w:r>
        <w:rPr>
          <w:rFonts w:ascii="Arial" w:cs="Arial" w:eastAsia="Arial" w:hAnsi="Arial"/>
          <w:sz w:val="20"/>
          <w:szCs w:val="20"/>
          <w:color w:val="3B3B3B"/>
        </w:rPr>
        <w:t>provide or render any material services required to be performed under a Policy (each, a “</w:t>
      </w:r>
      <w:r>
        <w:rPr>
          <w:rFonts w:ascii="Arial" w:cs="Arial" w:eastAsia="Arial" w:hAnsi="Arial"/>
          <w:sz w:val="20"/>
          <w:szCs w:val="20"/>
          <w:u w:val="single" w:color="auto"/>
          <w:color w:val="3B3B3B"/>
        </w:rPr>
        <w:t>Subcontractor</w:t>
      </w:r>
      <w:r>
        <w:rPr>
          <w:rFonts w:ascii="Arial" w:cs="Arial" w:eastAsia="Arial" w:hAnsi="Arial"/>
          <w:sz w:val="20"/>
          <w:szCs w:val="20"/>
          <w:color w:val="3B3B3B"/>
        </w:rPr>
        <w:t xml:space="preserve">”) without Lenders Protection's receipt of the prior written approval of Arch, except to the extent provided in </w:t>
      </w:r>
      <w:r>
        <w:rPr>
          <w:rFonts w:ascii="Arial" w:cs="Arial" w:eastAsia="Arial" w:hAnsi="Arial"/>
          <w:sz w:val="20"/>
          <w:szCs w:val="20"/>
          <w:u w:val="single" w:color="auto"/>
          <w:color w:val="3B3B3B"/>
        </w:rPr>
        <w:t>Section 5.6</w:t>
      </w:r>
      <w:r>
        <w:rPr>
          <w:rFonts w:ascii="Arial" w:cs="Arial" w:eastAsia="Arial" w:hAnsi="Arial"/>
          <w:sz w:val="20"/>
          <w:szCs w:val="20"/>
          <w:color w:val="3B3B3B"/>
        </w:rPr>
        <w:t xml:space="preserve"> below. Lenders Protection shall provide Subcontractors with all of Arch's guidelines, rules and regulations which have been previously provided to Lenders Protection in writing. Lenders Protection shall also require the Subcontractors to enter into written agreements with Lenders Protection and, if requested by Arch, with Arch in form and substance satisfactory to the Parties in which, among other things, such Subcontractor shall agree to comply with all of Arch's rules and regulations and Applicable Law. As between Arch and Lenders Protection, Arch shall have no responsibility for any acts or omissions of the Subcontractors and shall have no liability to Lenders Protection or any Subcontractor for any compensation claims by any Subcontractor to be due or owing as a result of its agreements with Lenders Protection.</w:t>
      </w:r>
    </w:p>
    <w:p>
      <w:pPr>
        <w:spacing w:after="0" w:line="179" w:lineRule="exact"/>
        <w:rPr>
          <w:sz w:val="20"/>
          <w:szCs w:val="20"/>
          <w:color w:val="auto"/>
        </w:rPr>
      </w:pPr>
    </w:p>
    <w:p>
      <w:pPr>
        <w:jc w:val="both"/>
        <w:ind w:firstLine="647"/>
        <w:spacing w:after="0" w:line="223" w:lineRule="auto"/>
        <w:rPr>
          <w:sz w:val="20"/>
          <w:szCs w:val="20"/>
          <w:color w:val="auto"/>
        </w:rPr>
      </w:pPr>
      <w:r>
        <w:rPr>
          <w:rFonts w:ascii="Arial" w:cs="Arial" w:eastAsia="Arial" w:hAnsi="Arial"/>
          <w:sz w:val="21"/>
          <w:szCs w:val="21"/>
          <w:b w:val="1"/>
          <w:bCs w:val="1"/>
          <w:color w:val="3B3B3B"/>
        </w:rPr>
        <w:t xml:space="preserve">Section 5.4 </w:t>
      </w:r>
      <w:r>
        <w:rPr>
          <w:rFonts w:ascii="Arial" w:cs="Arial" w:eastAsia="Arial" w:hAnsi="Arial"/>
          <w:sz w:val="21"/>
          <w:szCs w:val="21"/>
          <w:b w:val="1"/>
          <w:bCs w:val="1"/>
          <w:u w:val="single" w:color="auto"/>
          <w:color w:val="3B3B3B"/>
        </w:rPr>
        <w:t>No Other Authority</w:t>
      </w:r>
      <w:r>
        <w:rPr>
          <w:rFonts w:ascii="Arial" w:cs="Arial" w:eastAsia="Arial" w:hAnsi="Arial"/>
          <w:sz w:val="21"/>
          <w:szCs w:val="21"/>
          <w:b w:val="1"/>
          <w:bCs w:val="1"/>
          <w:color w:val="3B3B3B"/>
        </w:rPr>
        <w:t xml:space="preserve">. </w:t>
      </w:r>
      <w:r>
        <w:rPr>
          <w:rFonts w:ascii="Arial" w:cs="Arial" w:eastAsia="Arial" w:hAnsi="Arial"/>
          <w:sz w:val="21"/>
          <w:szCs w:val="21"/>
          <w:color w:val="3B3B3B"/>
        </w:rPr>
        <w:t>Lenders Protection shall have no authority, nor shall Lenders Protection represent itself as</w:t>
      </w:r>
      <w:r>
        <w:rPr>
          <w:rFonts w:ascii="Arial" w:cs="Arial" w:eastAsia="Arial" w:hAnsi="Arial"/>
          <w:sz w:val="21"/>
          <w:szCs w:val="21"/>
          <w:b w:val="1"/>
          <w:bCs w:val="1"/>
          <w:color w:val="3B3B3B"/>
        </w:rPr>
        <w:t xml:space="preserve"> </w:t>
      </w:r>
      <w:r>
        <w:rPr>
          <w:rFonts w:ascii="Arial" w:cs="Arial" w:eastAsia="Arial" w:hAnsi="Arial"/>
          <w:sz w:val="21"/>
          <w:szCs w:val="21"/>
          <w:color w:val="3B3B3B"/>
        </w:rPr>
        <w:t>having such authority, to act in any manner regarding the Policies other than as specifically set forth in this Agreement, or as authorized by Arch in writing and in either event in accordance with Applicable Law.</w:t>
      </w:r>
    </w:p>
    <w:p>
      <w:pPr>
        <w:spacing w:after="0" w:line="17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20"/>
          <w:szCs w:val="20"/>
          <w:b w:val="1"/>
          <w:bCs w:val="1"/>
          <w:color w:val="3B3B3B"/>
        </w:rPr>
        <w:t xml:space="preserve">Section 5.5 </w:t>
      </w:r>
      <w:r>
        <w:rPr>
          <w:rFonts w:ascii="Arial" w:cs="Arial" w:eastAsia="Arial" w:hAnsi="Arial"/>
          <w:sz w:val="20"/>
          <w:szCs w:val="20"/>
          <w:b w:val="1"/>
          <w:bCs w:val="1"/>
          <w:u w:val="single" w:color="auto"/>
          <w:color w:val="3B3B3B"/>
        </w:rPr>
        <w:t>Underwriting Guidelines</w:t>
      </w:r>
      <w:r>
        <w:rPr>
          <w:rFonts w:ascii="Arial" w:cs="Arial" w:eastAsia="Arial" w:hAnsi="Arial"/>
          <w:sz w:val="20"/>
          <w:szCs w:val="20"/>
          <w:color w:val="3B3B3B"/>
        </w:rPr>
        <w:t>. With respect to any Policy, Lenders Protection and Arch shall comply with and be</w:t>
      </w:r>
      <w:r>
        <w:rPr>
          <w:rFonts w:ascii="Arial" w:cs="Arial" w:eastAsia="Arial" w:hAnsi="Arial"/>
          <w:sz w:val="20"/>
          <w:szCs w:val="20"/>
          <w:b w:val="1"/>
          <w:bCs w:val="1"/>
          <w:color w:val="3B3B3B"/>
        </w:rPr>
        <w:t xml:space="preserve"> </w:t>
      </w:r>
      <w:r>
        <w:rPr>
          <w:rFonts w:ascii="Arial" w:cs="Arial" w:eastAsia="Arial" w:hAnsi="Arial"/>
          <w:sz w:val="20"/>
          <w:szCs w:val="20"/>
          <w:color w:val="3B3B3B"/>
        </w:rPr>
        <w:t>bound by (a) the Underwriting Guidelines as may be amended from time to time, and (b) all Applicable Laws. [***]</w:t>
      </w:r>
    </w:p>
    <w:p>
      <w:pPr>
        <w:spacing w:after="0" w:line="244" w:lineRule="exact"/>
        <w:rPr>
          <w:sz w:val="20"/>
          <w:szCs w:val="20"/>
          <w:color w:val="auto"/>
        </w:rPr>
      </w:pPr>
    </w:p>
    <w:p>
      <w:pPr>
        <w:ind w:right="280" w:firstLine="647"/>
        <w:spacing w:after="0" w:line="218" w:lineRule="auto"/>
        <w:rPr>
          <w:sz w:val="20"/>
          <w:szCs w:val="20"/>
          <w:color w:val="auto"/>
        </w:rPr>
      </w:pPr>
      <w:r>
        <w:rPr>
          <w:rFonts w:ascii="Arial" w:cs="Arial" w:eastAsia="Arial" w:hAnsi="Arial"/>
          <w:sz w:val="21"/>
          <w:szCs w:val="21"/>
          <w:b w:val="1"/>
          <w:bCs w:val="1"/>
          <w:color w:val="3B3B3B"/>
        </w:rPr>
        <w:t xml:space="preserve">Section 5.6 </w:t>
      </w:r>
      <w:r>
        <w:rPr>
          <w:rFonts w:ascii="Arial" w:cs="Arial" w:eastAsia="Arial" w:hAnsi="Arial"/>
          <w:sz w:val="21"/>
          <w:szCs w:val="21"/>
          <w:b w:val="1"/>
          <w:bCs w:val="1"/>
          <w:u w:val="single" w:color="auto"/>
          <w:color w:val="3B3B3B"/>
        </w:rPr>
        <w:t>Affiliates as Subcontractors</w:t>
      </w:r>
      <w:r>
        <w:rPr>
          <w:rFonts w:ascii="Arial" w:cs="Arial" w:eastAsia="Arial" w:hAnsi="Arial"/>
          <w:sz w:val="21"/>
          <w:szCs w:val="21"/>
          <w:color w:val="3B3B3B"/>
        </w:rPr>
        <w:t>. Notwithstanding anything contained herein to the contrary, Arch hereby</w:t>
      </w:r>
      <w:r>
        <w:rPr>
          <w:rFonts w:ascii="Arial" w:cs="Arial" w:eastAsia="Arial" w:hAnsi="Arial"/>
          <w:sz w:val="21"/>
          <w:szCs w:val="21"/>
          <w:b w:val="1"/>
          <w:bCs w:val="1"/>
          <w:color w:val="3B3B3B"/>
        </w:rPr>
        <w:t xml:space="preserve"> </w:t>
      </w:r>
      <w:r>
        <w:rPr>
          <w:rFonts w:ascii="Arial" w:cs="Arial" w:eastAsia="Arial" w:hAnsi="Arial"/>
          <w:sz w:val="21"/>
          <w:szCs w:val="21"/>
          <w:color w:val="3B3B3B"/>
        </w:rPr>
        <w:t>expressly confirms that Affiliates of Lenders Protection may function as Subcontractors of Lenders Protection hereunder [***] of Arch. Lender's Protection understands and agrees that at all time it shall retain all liability for its obligations that are performed by any Affiliate and Subcontractor.</w:t>
      </w:r>
    </w:p>
    <w:p>
      <w:pPr>
        <w:spacing w:after="0" w:line="176" w:lineRule="exact"/>
        <w:rPr>
          <w:sz w:val="20"/>
          <w:szCs w:val="20"/>
          <w:color w:val="auto"/>
        </w:rPr>
      </w:pPr>
    </w:p>
    <w:p>
      <w:pPr>
        <w:jc w:val="both"/>
        <w:ind w:firstLine="647"/>
        <w:spacing w:after="0" w:line="219" w:lineRule="auto"/>
        <w:rPr>
          <w:sz w:val="20"/>
          <w:szCs w:val="20"/>
          <w:color w:val="auto"/>
        </w:rPr>
      </w:pPr>
      <w:r>
        <w:rPr>
          <w:rFonts w:ascii="Arial" w:cs="Arial" w:eastAsia="Arial" w:hAnsi="Arial"/>
          <w:sz w:val="20"/>
          <w:szCs w:val="20"/>
          <w:b w:val="1"/>
          <w:bCs w:val="1"/>
          <w:color w:val="3B3B3B"/>
        </w:rPr>
        <w:t xml:space="preserve">Section 5.7 </w:t>
      </w:r>
      <w:r>
        <w:rPr>
          <w:rFonts w:ascii="Arial" w:cs="Arial" w:eastAsia="Arial" w:hAnsi="Arial"/>
          <w:sz w:val="20"/>
          <w:szCs w:val="20"/>
          <w:b w:val="1"/>
          <w:bCs w:val="1"/>
          <w:u w:val="single" w:color="auto"/>
          <w:color w:val="3B3B3B"/>
        </w:rPr>
        <w:t>Reporting and Payment to Arch</w:t>
      </w:r>
      <w:r>
        <w:rPr>
          <w:rFonts w:ascii="Arial" w:cs="Arial" w:eastAsia="Arial" w:hAnsi="Arial"/>
          <w:sz w:val="20"/>
          <w:szCs w:val="20"/>
          <w:color w:val="3B3B3B"/>
        </w:rPr>
        <w:t>. Lenders Protection shall ensure that each loan made through the Software</w:t>
      </w:r>
      <w:r>
        <w:rPr>
          <w:rFonts w:ascii="Arial" w:cs="Arial" w:eastAsia="Arial" w:hAnsi="Arial"/>
          <w:sz w:val="20"/>
          <w:szCs w:val="20"/>
          <w:b w:val="1"/>
          <w:bCs w:val="1"/>
          <w:color w:val="3B3B3B"/>
        </w:rPr>
        <w:t xml:space="preserve"> </w:t>
      </w:r>
      <w:r>
        <w:rPr>
          <w:rFonts w:ascii="Arial" w:cs="Arial" w:eastAsia="Arial" w:hAnsi="Arial"/>
          <w:sz w:val="20"/>
          <w:szCs w:val="20"/>
          <w:color w:val="3B3B3B"/>
        </w:rPr>
        <w:t>Platform and requested by Lenders Protection to be made part of the Program with Arch is reported to Arch and to the Surplus Lines Broker no later than the [***], with respect to all such loans so requested in the prior calendar month, and is otherwise scheduled to the appropriate Policy, in accordance with Arch's requirements and direction. Arch will be paid, when due, all premiums calculated in accordance with the terms of this Agreement in respect of each such loan covered by a Policy, it being understood that the premiums for such Policies are paid by the Surplus Lines Broker and the failure of such Surplus Lines Broker to remit (promptly or otherwise) payment to Arch will not be deemed to be a breach of this Agreement. Notwithstanding the foregoing, Lenders Protection will not actively interfere with timely payments by the Surplus Lines Broker and covenants to provide reasonable assistance to Arch to obtain payment by the Surplus Lines Broker.</w:t>
      </w:r>
    </w:p>
    <w:p>
      <w:pPr>
        <w:spacing w:after="0" w:line="177" w:lineRule="exact"/>
        <w:rPr>
          <w:sz w:val="20"/>
          <w:szCs w:val="20"/>
          <w:color w:val="auto"/>
        </w:rPr>
      </w:pPr>
    </w:p>
    <w:p>
      <w:pPr>
        <w:jc w:val="both"/>
        <w:ind w:firstLine="647"/>
        <w:spacing w:after="0" w:line="234" w:lineRule="auto"/>
        <w:rPr>
          <w:sz w:val="20"/>
          <w:szCs w:val="20"/>
          <w:color w:val="auto"/>
        </w:rPr>
      </w:pPr>
      <w:r>
        <w:rPr>
          <w:rFonts w:ascii="Arial" w:cs="Arial" w:eastAsia="Arial" w:hAnsi="Arial"/>
          <w:sz w:val="19"/>
          <w:szCs w:val="19"/>
          <w:b w:val="1"/>
          <w:bCs w:val="1"/>
          <w:color w:val="3B3B3B"/>
        </w:rPr>
        <w:t xml:space="preserve">Section 5.8 </w:t>
      </w:r>
      <w:r>
        <w:rPr>
          <w:rFonts w:ascii="Arial" w:cs="Arial" w:eastAsia="Arial" w:hAnsi="Arial"/>
          <w:sz w:val="19"/>
          <w:szCs w:val="19"/>
          <w:b w:val="1"/>
          <w:bCs w:val="1"/>
          <w:u w:val="single" w:color="auto"/>
          <w:color w:val="3B3B3B"/>
        </w:rPr>
        <w:t>Consumer Reporting Compliance</w:t>
      </w:r>
      <w:r>
        <w:rPr>
          <w:rFonts w:ascii="Arial" w:cs="Arial" w:eastAsia="Arial" w:hAnsi="Arial"/>
          <w:sz w:val="19"/>
          <w:szCs w:val="19"/>
          <w:color w:val="3B3B3B"/>
        </w:rPr>
        <w:t>. Lenders Protection shall be solely responsible for providing Arch with</w:t>
      </w:r>
      <w:r>
        <w:rPr>
          <w:rFonts w:ascii="Arial" w:cs="Arial" w:eastAsia="Arial" w:hAnsi="Arial"/>
          <w:sz w:val="19"/>
          <w:szCs w:val="19"/>
          <w:b w:val="1"/>
          <w:bCs w:val="1"/>
          <w:color w:val="3B3B3B"/>
        </w:rPr>
        <w:t xml:space="preserve"> </w:t>
      </w:r>
      <w:r>
        <w:rPr>
          <w:rFonts w:ascii="Arial" w:cs="Arial" w:eastAsia="Arial" w:hAnsi="Arial"/>
          <w:sz w:val="19"/>
          <w:szCs w:val="19"/>
          <w:color w:val="3B3B3B"/>
        </w:rPr>
        <w:t>information on loans that (a) were refused coverage under the Policies due to information in the borrower's credit file or (b) resulted in any other circumstances in which Applicable Law requires that an adverse action or any other notice to a consumer (a “</w:t>
      </w:r>
      <w:r>
        <w:rPr>
          <w:rFonts w:ascii="Arial" w:cs="Arial" w:eastAsia="Arial" w:hAnsi="Arial"/>
          <w:sz w:val="19"/>
          <w:szCs w:val="19"/>
          <w:u w:val="single" w:color="auto"/>
          <w:color w:val="3B3B3B"/>
        </w:rPr>
        <w:t>Consumer</w:t>
      </w:r>
      <w:r>
        <w:rPr>
          <w:rFonts w:ascii="Arial" w:cs="Arial" w:eastAsia="Arial" w:hAnsi="Arial"/>
          <w:sz w:val="19"/>
          <w:szCs w:val="19"/>
          <w:color w:val="3B3B3B"/>
        </w:rPr>
        <w:t xml:space="preserve"> </w:t>
      </w:r>
      <w:r>
        <w:rPr>
          <w:rFonts w:ascii="Arial" w:cs="Arial" w:eastAsia="Arial" w:hAnsi="Arial"/>
          <w:sz w:val="19"/>
          <w:szCs w:val="19"/>
          <w:u w:val="single" w:color="auto"/>
          <w:color w:val="3B3B3B"/>
        </w:rPr>
        <w:t>Notice</w:t>
      </w:r>
      <w:r>
        <w:rPr>
          <w:rFonts w:ascii="Arial" w:cs="Arial" w:eastAsia="Arial" w:hAnsi="Arial"/>
          <w:sz w:val="19"/>
          <w:szCs w:val="19"/>
          <w:color w:val="3B3B3B"/>
        </w:rPr>
        <w:t>”) be sent by Arch including, without limitation, the Fair Credit Reporting Act (“</w:t>
      </w:r>
      <w:r>
        <w:rPr>
          <w:rFonts w:ascii="Arial" w:cs="Arial" w:eastAsia="Arial" w:hAnsi="Arial"/>
          <w:sz w:val="19"/>
          <w:szCs w:val="19"/>
          <w:u w:val="single" w:color="auto"/>
          <w:color w:val="3B3B3B"/>
        </w:rPr>
        <w:t>FCRA</w:t>
      </w:r>
      <w:r>
        <w:rPr>
          <w:rFonts w:ascii="Arial" w:cs="Arial" w:eastAsia="Arial" w:hAnsi="Arial"/>
          <w:sz w:val="19"/>
          <w:szCs w:val="19"/>
          <w:color w:val="3B3B3B"/>
        </w:rPr>
        <w:t>”) , despite the absence of Arch’s legal obligation to provide a notice thereunder. Arch may designate a vendor, subject to approval by Lenders Protection, which approval shall not be unreasonably withheld (an “</w:t>
      </w:r>
      <w:r>
        <w:rPr>
          <w:rFonts w:ascii="Arial" w:cs="Arial" w:eastAsia="Arial" w:hAnsi="Arial"/>
          <w:sz w:val="19"/>
          <w:szCs w:val="19"/>
          <w:u w:val="single" w:color="auto"/>
          <w:color w:val="3B3B3B"/>
        </w:rPr>
        <w:t>Approved Vendor</w:t>
      </w:r>
      <w:r>
        <w:rPr>
          <w:rFonts w:ascii="Arial" w:cs="Arial" w:eastAsia="Arial" w:hAnsi="Arial"/>
          <w:sz w:val="19"/>
          <w:szCs w:val="19"/>
          <w:color w:val="3B3B3B"/>
        </w:rPr>
        <w:t>”). The Approved Vendor shall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11</w:t>
      </w:r>
    </w:p>
    <w:p>
      <w:pPr>
        <w:sectPr>
          <w:pgSz w:w="11900" w:h="16838" w:orient="portrait"/>
          <w:cols w:equalWidth="0" w:num="1">
            <w:col w:w="11040"/>
          </w:cols>
          <w:pgMar w:left="420" w:top="1395" w:right="439" w:bottom="1440" w:gutter="0" w:footer="0" w:header="0"/>
        </w:sectPr>
      </w:pPr>
    </w:p>
    <w:bookmarkStart w:id="44" w:name="page45"/>
    <w:bookmarkEnd w:id="44"/>
    <w:p>
      <w:pPr>
        <w:jc w:val="both"/>
        <w:spacing w:after="0" w:line="236" w:lineRule="auto"/>
        <w:rPr>
          <w:sz w:val="20"/>
          <w:szCs w:val="20"/>
          <w:color w:val="auto"/>
        </w:rPr>
      </w:pPr>
      <w:r>
        <w:rPr>
          <w:rFonts w:ascii="Arial" w:cs="Arial" w:eastAsia="Arial" w:hAnsi="Arial"/>
          <w:sz w:val="19"/>
          <w:szCs w:val="19"/>
          <w:color w:val="3B3B3B"/>
        </w:rPr>
        <w:t>confidentiality obligations and Arch may deliver such denial information to such Approved Vendor for delivery as required by Applicable Law. Arch understands, acknowledges and agrees that Arch will be responsible for any improper use or distribution of such information by the Approved Vendor. Such denial or other required information shall be provided to Arch within at least [***] after such application is declined or otherwise results in circumstances requiring a Consumer Notice be sent by Arch. This data will include the information requested by Arch in order to issue these notices and any other information reasonably required by Arch.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ARTICLE 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B3B3B"/>
        </w:rPr>
        <w:t>ACCESS TO RECORDS AND AUDITS</w:t>
      </w:r>
    </w:p>
    <w:p>
      <w:pPr>
        <w:spacing w:after="0" w:line="285" w:lineRule="exact"/>
        <w:rPr>
          <w:sz w:val="20"/>
          <w:szCs w:val="20"/>
          <w:color w:val="auto"/>
        </w:rPr>
      </w:pPr>
    </w:p>
    <w:p>
      <w:pPr>
        <w:jc w:val="both"/>
        <w:ind w:firstLine="647"/>
        <w:spacing w:after="0" w:line="218" w:lineRule="auto"/>
        <w:rPr>
          <w:sz w:val="20"/>
          <w:szCs w:val="20"/>
          <w:color w:val="auto"/>
        </w:rPr>
      </w:pPr>
      <w:r>
        <w:rPr>
          <w:rFonts w:ascii="Arial" w:cs="Arial" w:eastAsia="Arial" w:hAnsi="Arial"/>
          <w:sz w:val="21"/>
          <w:szCs w:val="21"/>
          <w:b w:val="1"/>
          <w:bCs w:val="1"/>
          <w:color w:val="3B3B3B"/>
        </w:rPr>
        <w:t xml:space="preserve">Section 6.1 </w:t>
      </w:r>
      <w:r>
        <w:rPr>
          <w:rFonts w:ascii="Arial" w:cs="Arial" w:eastAsia="Arial" w:hAnsi="Arial"/>
          <w:sz w:val="21"/>
          <w:szCs w:val="21"/>
          <w:b w:val="1"/>
          <w:bCs w:val="1"/>
          <w:u w:val="single" w:color="auto"/>
          <w:color w:val="3B3B3B"/>
        </w:rPr>
        <w:t>Maintenance of Program Files</w:t>
      </w:r>
      <w:r>
        <w:rPr>
          <w:rFonts w:ascii="Arial" w:cs="Arial" w:eastAsia="Arial" w:hAnsi="Arial"/>
          <w:sz w:val="21"/>
          <w:szCs w:val="21"/>
          <w:color w:val="3B3B3B"/>
        </w:rPr>
        <w:t>. The Parties shall keep, and shall require their Affiliates to keep, commercially</w:t>
      </w:r>
      <w:r>
        <w:rPr>
          <w:rFonts w:ascii="Arial" w:cs="Arial" w:eastAsia="Arial" w:hAnsi="Arial"/>
          <w:sz w:val="21"/>
          <w:szCs w:val="21"/>
          <w:b w:val="1"/>
          <w:bCs w:val="1"/>
          <w:color w:val="3B3B3B"/>
        </w:rPr>
        <w:t xml:space="preserve"> </w:t>
      </w:r>
      <w:r>
        <w:rPr>
          <w:rFonts w:ascii="Arial" w:cs="Arial" w:eastAsia="Arial" w:hAnsi="Arial"/>
          <w:sz w:val="21"/>
          <w:szCs w:val="21"/>
          <w:color w:val="3B3B3B"/>
        </w:rPr>
        <w:t>reasonable accounts, books and records of all business transacted under this Agreement and the Policies, including without limitation, copies of all scheduled loans and all books, records, data, information, accounts, documents or correspondence reasonably related thereto (“Program Files”).</w:t>
      </w:r>
    </w:p>
    <w:p>
      <w:pPr>
        <w:spacing w:after="0" w:line="257" w:lineRule="exact"/>
        <w:rPr>
          <w:sz w:val="20"/>
          <w:szCs w:val="20"/>
          <w:color w:val="auto"/>
        </w:rPr>
      </w:pPr>
    </w:p>
    <w:p>
      <w:pPr>
        <w:jc w:val="both"/>
        <w:ind w:firstLine="647"/>
        <w:spacing w:after="0" w:line="229" w:lineRule="auto"/>
        <w:rPr>
          <w:sz w:val="20"/>
          <w:szCs w:val="20"/>
          <w:color w:val="auto"/>
        </w:rPr>
      </w:pPr>
      <w:r>
        <w:rPr>
          <w:rFonts w:ascii="Arial" w:cs="Arial" w:eastAsia="Arial" w:hAnsi="Arial"/>
          <w:sz w:val="19"/>
          <w:szCs w:val="19"/>
          <w:b w:val="1"/>
          <w:bCs w:val="1"/>
          <w:color w:val="3B3B3B"/>
        </w:rPr>
        <w:t>Section 6.2 Inspection and Audit of Program Files</w:t>
      </w:r>
      <w:r>
        <w:rPr>
          <w:rFonts w:ascii="Arial" w:cs="Arial" w:eastAsia="Arial" w:hAnsi="Arial"/>
          <w:sz w:val="19"/>
          <w:szCs w:val="19"/>
          <w:color w:val="3B3B3B"/>
        </w:rPr>
        <w:t>. During the Term of this Agreement or for so long as there remains</w:t>
      </w:r>
      <w:r>
        <w:rPr>
          <w:rFonts w:ascii="Arial" w:cs="Arial" w:eastAsia="Arial" w:hAnsi="Arial"/>
          <w:sz w:val="19"/>
          <w:szCs w:val="19"/>
          <w:b w:val="1"/>
          <w:bCs w:val="1"/>
          <w:color w:val="3B3B3B"/>
        </w:rPr>
        <w:t xml:space="preserve"> </w:t>
      </w:r>
      <w:r>
        <w:rPr>
          <w:rFonts w:ascii="Arial" w:cs="Arial" w:eastAsia="Arial" w:hAnsi="Arial"/>
          <w:sz w:val="19"/>
          <w:szCs w:val="19"/>
          <w:color w:val="3B3B3B"/>
        </w:rPr>
        <w:t>outstanding any risk that may be claimed pursuant to a Policy that was issued prior to the termination of this Agreement, either Party and its authorized representatives, at is sole costs and expense, may inspect and audit any of the Program Files of the other (but, in in no event will Lenders Protection be required to allow Arch to inspect or audit any Program Files related to Additional Carriers or Additional Carrier Policies) either, at the option of the Party being audited (a) during normal business hours at any office of such retaining Party or (b) by having the Program Files copied and delivered to the Party requesting the audit at the cost of the Party being audited. All Program Files shall be maintained separately from the records not constituting Program Files. Program Files shall be maintained by the Parties for a period equal to its document retention program, [***] after the expiration of the Policies and scheduled loans, or until the completion of a financial or market conduct examination of such records by the insurance regulatory authority of the state in which Arch is domiciled, whichever is longer. In no event shall [***] have the right to review, audit or obtain copies of any books, records, data, information, accounts, documents or correspondence not constituting Program Files.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ARTICLE 7</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B3B3B"/>
        </w:rPr>
        <w:t>INDEMNIFICATION</w:t>
      </w:r>
    </w:p>
    <w:p>
      <w:pPr>
        <w:spacing w:after="0" w:line="204" w:lineRule="exact"/>
        <w:rPr>
          <w:sz w:val="20"/>
          <w:szCs w:val="20"/>
          <w:color w:val="auto"/>
        </w:rPr>
      </w:pPr>
    </w:p>
    <w:p>
      <w:pPr>
        <w:jc w:val="both"/>
        <w:ind w:firstLine="647"/>
        <w:spacing w:after="0" w:line="234" w:lineRule="auto"/>
        <w:rPr>
          <w:sz w:val="20"/>
          <w:szCs w:val="20"/>
          <w:color w:val="auto"/>
        </w:rPr>
      </w:pPr>
      <w:r>
        <w:rPr>
          <w:rFonts w:ascii="Arial" w:cs="Arial" w:eastAsia="Arial" w:hAnsi="Arial"/>
          <w:sz w:val="19"/>
          <w:szCs w:val="19"/>
          <w:b w:val="1"/>
          <w:bCs w:val="1"/>
          <w:color w:val="3B3B3B"/>
        </w:rPr>
        <w:t xml:space="preserve">Section 7.1 </w:t>
      </w:r>
      <w:r>
        <w:rPr>
          <w:rFonts w:ascii="Arial" w:cs="Arial" w:eastAsia="Arial" w:hAnsi="Arial"/>
          <w:sz w:val="19"/>
          <w:szCs w:val="19"/>
          <w:b w:val="1"/>
          <w:bCs w:val="1"/>
          <w:u w:val="single" w:color="auto"/>
          <w:color w:val="3B3B3B"/>
        </w:rPr>
        <w:t>General Indemnity</w:t>
      </w:r>
      <w:r>
        <w:rPr>
          <w:rFonts w:ascii="Arial" w:cs="Arial" w:eastAsia="Arial" w:hAnsi="Arial"/>
          <w:sz w:val="19"/>
          <w:szCs w:val="19"/>
          <w:color w:val="3B3B3B"/>
        </w:rPr>
        <w:t>. Each Party will indemnify, defend and hold harmless the other Party and its respective</w:t>
      </w:r>
      <w:r>
        <w:rPr>
          <w:rFonts w:ascii="Arial" w:cs="Arial" w:eastAsia="Arial" w:hAnsi="Arial"/>
          <w:sz w:val="19"/>
          <w:szCs w:val="19"/>
          <w:b w:val="1"/>
          <w:bCs w:val="1"/>
          <w:color w:val="3B3B3B"/>
        </w:rPr>
        <w:t xml:space="preserve"> </w:t>
      </w:r>
      <w:r>
        <w:rPr>
          <w:rFonts w:ascii="Arial" w:cs="Arial" w:eastAsia="Arial" w:hAnsi="Arial"/>
          <w:sz w:val="19"/>
          <w:szCs w:val="19"/>
          <w:color w:val="3B3B3B"/>
        </w:rPr>
        <w:t>officers, directors, employees, Affiliates and agents (each, an “</w:t>
      </w:r>
      <w:r>
        <w:rPr>
          <w:rFonts w:ascii="Arial" w:cs="Arial" w:eastAsia="Arial" w:hAnsi="Arial"/>
          <w:sz w:val="19"/>
          <w:szCs w:val="19"/>
          <w:u w:val="single" w:color="auto"/>
          <w:color w:val="3B3B3B"/>
        </w:rPr>
        <w:t>Indemnified Party</w:t>
      </w:r>
      <w:r>
        <w:rPr>
          <w:rFonts w:ascii="Arial" w:cs="Arial" w:eastAsia="Arial" w:hAnsi="Arial"/>
          <w:sz w:val="19"/>
          <w:szCs w:val="19"/>
          <w:color w:val="3B3B3B"/>
        </w:rPr>
        <w:t>” and collectively, the “</w:t>
      </w:r>
      <w:r>
        <w:rPr>
          <w:rFonts w:ascii="Arial" w:cs="Arial" w:eastAsia="Arial" w:hAnsi="Arial"/>
          <w:sz w:val="19"/>
          <w:szCs w:val="19"/>
          <w:u w:val="single" w:color="auto"/>
          <w:color w:val="3B3B3B"/>
        </w:rPr>
        <w:t>Indemnified Parties</w:t>
      </w:r>
      <w:r>
        <w:rPr>
          <w:rFonts w:ascii="Arial" w:cs="Arial" w:eastAsia="Arial" w:hAnsi="Arial"/>
          <w:sz w:val="19"/>
          <w:szCs w:val="19"/>
          <w:color w:val="3B3B3B"/>
        </w:rPr>
        <w:t>”) from and against any claim, loss, liability, fine, penalty, cost or expense, including but not limited to reasonable attorneys' fees and costs, (collectively, an “</w:t>
      </w:r>
      <w:r>
        <w:rPr>
          <w:rFonts w:ascii="Arial" w:cs="Arial" w:eastAsia="Arial" w:hAnsi="Arial"/>
          <w:sz w:val="19"/>
          <w:szCs w:val="19"/>
          <w:u w:val="single" w:color="auto"/>
          <w:color w:val="3B3B3B"/>
        </w:rPr>
        <w:t>Indemnification Request</w:t>
      </w:r>
      <w:r>
        <w:rPr>
          <w:rFonts w:ascii="Arial" w:cs="Arial" w:eastAsia="Arial" w:hAnsi="Arial"/>
          <w:sz w:val="19"/>
          <w:szCs w:val="19"/>
          <w:color w:val="3B3B3B"/>
        </w:rPr>
        <w:t xml:space="preserve">”) to the extent such Indemnification Request arises from the negligence, willful misconduct or material breach of this Agreement by the other Party or its Subcontractor, or to the extent such Indemnification relates to a breach of a representation, warranty or covenant of a Party specified in </w:t>
      </w:r>
      <w:r>
        <w:rPr>
          <w:rFonts w:ascii="Arial" w:cs="Arial" w:eastAsia="Arial" w:hAnsi="Arial"/>
          <w:sz w:val="19"/>
          <w:szCs w:val="19"/>
          <w:u w:val="single" w:color="auto"/>
          <w:color w:val="3B3B3B"/>
        </w:rPr>
        <w:t>Article 9</w:t>
      </w:r>
      <w:r>
        <w:rPr>
          <w:rFonts w:ascii="Arial" w:cs="Arial" w:eastAsia="Arial" w:hAnsi="Arial"/>
          <w:sz w:val="19"/>
          <w:szCs w:val="19"/>
          <w:color w:val="3B3B3B"/>
        </w:rPr>
        <w:t xml:space="preserve"> or </w:t>
      </w:r>
      <w:r>
        <w:rPr>
          <w:rFonts w:ascii="Arial" w:cs="Arial" w:eastAsia="Arial" w:hAnsi="Arial"/>
          <w:sz w:val="19"/>
          <w:szCs w:val="19"/>
          <w:u w:val="single" w:color="auto"/>
          <w:color w:val="3B3B3B"/>
        </w:rPr>
        <w:t>10</w:t>
      </w:r>
      <w:r>
        <w:rPr>
          <w:rFonts w:ascii="Arial" w:cs="Arial" w:eastAsia="Arial" w:hAnsi="Arial"/>
          <w:sz w:val="19"/>
          <w:szCs w:val="19"/>
          <w:color w:val="3B3B3B"/>
        </w:rPr>
        <w:t>.</w:t>
      </w:r>
    </w:p>
    <w:p>
      <w:pPr>
        <w:spacing w:after="0" w:line="274"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21"/>
          <w:szCs w:val="21"/>
          <w:b w:val="1"/>
          <w:bCs w:val="1"/>
          <w:color w:val="3B3B3B"/>
        </w:rPr>
        <w:t>Section 7.2</w:t>
        <w:tab/>
        <w:t>[***]</w:t>
      </w:r>
    </w:p>
    <w:p>
      <w:pPr>
        <w:spacing w:after="0" w:line="204" w:lineRule="exact"/>
        <w:rPr>
          <w:sz w:val="20"/>
          <w:szCs w:val="20"/>
          <w:color w:val="auto"/>
        </w:rPr>
      </w:pPr>
    </w:p>
    <w:p>
      <w:pPr>
        <w:jc w:val="both"/>
        <w:ind w:firstLine="647"/>
        <w:spacing w:after="0" w:line="212" w:lineRule="auto"/>
        <w:rPr>
          <w:sz w:val="20"/>
          <w:szCs w:val="20"/>
          <w:color w:val="auto"/>
        </w:rPr>
      </w:pPr>
      <w:r>
        <w:rPr>
          <w:rFonts w:ascii="Arial" w:cs="Arial" w:eastAsia="Arial" w:hAnsi="Arial"/>
          <w:sz w:val="21"/>
          <w:szCs w:val="21"/>
          <w:b w:val="1"/>
          <w:bCs w:val="1"/>
          <w:color w:val="3B3B3B"/>
        </w:rPr>
        <w:t xml:space="preserve">Section 7.3 </w:t>
      </w:r>
      <w:r>
        <w:rPr>
          <w:rFonts w:ascii="Arial" w:cs="Arial" w:eastAsia="Arial" w:hAnsi="Arial"/>
          <w:sz w:val="21"/>
          <w:szCs w:val="21"/>
          <w:b w:val="1"/>
          <w:bCs w:val="1"/>
          <w:u w:val="single" w:color="auto"/>
          <w:color w:val="3B3B3B"/>
        </w:rPr>
        <w:t>Indemnification Procedures</w:t>
      </w:r>
      <w:r>
        <w:rPr>
          <w:rFonts w:ascii="Arial" w:cs="Arial" w:eastAsia="Arial" w:hAnsi="Arial"/>
          <w:sz w:val="21"/>
          <w:szCs w:val="21"/>
          <w:color w:val="3B3B3B"/>
        </w:rPr>
        <w:t>. If an Indemnified Party has reasonable cause to believe it has grounds for</w:t>
      </w:r>
      <w:r>
        <w:rPr>
          <w:rFonts w:ascii="Arial" w:cs="Arial" w:eastAsia="Arial" w:hAnsi="Arial"/>
          <w:sz w:val="21"/>
          <w:szCs w:val="21"/>
          <w:b w:val="1"/>
          <w:bCs w:val="1"/>
          <w:color w:val="3B3B3B"/>
        </w:rPr>
        <w:t xml:space="preserve"> </w:t>
      </w:r>
      <w:r>
        <w:rPr>
          <w:rFonts w:ascii="Arial" w:cs="Arial" w:eastAsia="Arial" w:hAnsi="Arial"/>
          <w:sz w:val="21"/>
          <w:szCs w:val="21"/>
          <w:color w:val="3B3B3B"/>
        </w:rPr>
        <w:t>indemnification under this Agreement, it will promptly deliver a notice of its Indemnification Request to the other Party (the “</w:t>
      </w:r>
      <w:r>
        <w:rPr>
          <w:rFonts w:ascii="Arial" w:cs="Arial" w:eastAsia="Arial" w:hAnsi="Arial"/>
          <w:sz w:val="21"/>
          <w:szCs w:val="21"/>
          <w:u w:val="single" w:color="auto"/>
          <w:color w:val="3B3B3B"/>
        </w:rPr>
        <w:t>Indemnifying Party</w:t>
      </w:r>
      <w:r>
        <w:rPr>
          <w:rFonts w:ascii="Arial" w:cs="Arial" w:eastAsia="Arial" w:hAnsi="Arial"/>
          <w:sz w:val="21"/>
          <w:szCs w:val="21"/>
          <w:color w:val="3B3B3B"/>
        </w:rPr>
        <w:t>”), setting forth with reasonable particularity the grounds for the Indemnification Request. If there is asserted any Indemnification Request by a Person not a party to this Agreement (a “</w:t>
      </w:r>
      <w:r>
        <w:rPr>
          <w:rFonts w:ascii="Arial" w:cs="Arial" w:eastAsia="Arial" w:hAnsi="Arial"/>
          <w:sz w:val="21"/>
          <w:szCs w:val="21"/>
          <w:u w:val="single" w:color="auto"/>
          <w:color w:val="3B3B3B"/>
        </w:rPr>
        <w:t>Third Party Indemnification Request</w:t>
      </w:r>
      <w:r>
        <w:rPr>
          <w:rFonts w:ascii="Arial" w:cs="Arial" w:eastAsia="Arial" w:hAnsi="Arial"/>
          <w:sz w:val="21"/>
          <w:szCs w:val="21"/>
          <w:color w:val="3B3B3B"/>
        </w:rPr>
        <w:t>”) including, without limitation, a Indemnification Request demanding that the Indemnified Party take any action in respect of or relating to the Policies or the Software Platform,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12</w:t>
      </w:r>
    </w:p>
    <w:p>
      <w:pPr>
        <w:sectPr>
          <w:pgSz w:w="11900" w:h="16838" w:orient="portrait"/>
          <w:cols w:equalWidth="0" w:num="1">
            <w:col w:w="11040"/>
          </w:cols>
          <w:pgMar w:left="420" w:top="1314" w:right="439" w:bottom="1440" w:gutter="0" w:footer="0" w:header="0"/>
        </w:sectPr>
      </w:pPr>
    </w:p>
    <w:bookmarkStart w:id="45" w:name="page46"/>
    <w:bookmarkEnd w:id="45"/>
    <w:p>
      <w:pPr>
        <w:jc w:val="both"/>
        <w:spacing w:after="0" w:line="226" w:lineRule="auto"/>
        <w:rPr>
          <w:sz w:val="20"/>
          <w:szCs w:val="20"/>
          <w:color w:val="auto"/>
        </w:rPr>
      </w:pPr>
      <w:r>
        <w:rPr>
          <w:rFonts w:ascii="Arial" w:cs="Arial" w:eastAsia="Arial" w:hAnsi="Arial"/>
          <w:sz w:val="19"/>
          <w:szCs w:val="19"/>
          <w:color w:val="3B3B3B"/>
        </w:rPr>
        <w:t>Indemnified Party must notify the Indemnifying Party in writing of the Third Party Indemnification Request as soon as practicable but no later than [***] after receipt by such Indemnified Party of written notice of the Third Party Indemnification Request. Thereafter, the Indemnified Party will deliver to the Indemnifying Party, as soon as practicable after receipt thereof copies of all notices and documents (including court papers) received by the Indemnified Party relating to the Third Party Indemnification Request. The failure to notify the Indemnifying Party will not relieve the Indemnifying Party of any liability that it may have to the Indemnified Party, except to the extent the Indemnifying Party demonstrates that the defense of such action is prejudiced by the Indemnified Party's failure to give such notice. The Indemnifying Party will be entitled to participate in the defense of a Third Party Indemnification Request made against an Indemnified Party and, if it so chooses, to assume the control of the defense thereof with counsel of its choosing. If the Indemnifying Party elects to assume the control of the defense of a Third Party Indemnification Request, the Indemnified Party will (a) cooperate fully with the Indemnifying Party in connection with such defense, (b) not admit any liability with respect to, or settle, compromise or discharge any Third Party Indemnification Request without the Indemnifying Party's prior written consent and (c) agree to any settlement, compromise or discharge of a Third Party Indemnification Request which the Indemnifying Party may recommend and which by its terms (i) includes a release of all covered claims in connection with such Third Party Indemnification Request, (ii) contains no admission of liability or wrongdoing on the pan of the Indemnified Party, and (iii) imposes no obligation or liability on the Indemnified Party. In the event the Indemnifying Party will assume the control of the defense of any Third Party Indemnification Request as provided above, the Indemnified Party will be entitled to participate in (but not control) such defense with its own counsel at its own expense. If the Indemnifying Party does not so assume the control of the defense of any Third Party Indemnification Request, the Indemnifying Party will be entitled to participate in (but not control) the defense of such Third Party Indemnification Request with its own counsel at its own expense.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ARTICLE 8</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B3B3B"/>
        </w:rPr>
        <w:t>CUSTOMER DATA</w:t>
      </w:r>
    </w:p>
    <w:p>
      <w:pPr>
        <w:spacing w:after="0" w:line="204" w:lineRule="exact"/>
        <w:rPr>
          <w:sz w:val="20"/>
          <w:szCs w:val="20"/>
          <w:color w:val="auto"/>
        </w:rPr>
      </w:pPr>
    </w:p>
    <w:p>
      <w:pPr>
        <w:jc w:val="both"/>
        <w:ind w:firstLine="647"/>
        <w:spacing w:after="0" w:line="223" w:lineRule="auto"/>
        <w:rPr>
          <w:sz w:val="20"/>
          <w:szCs w:val="20"/>
          <w:color w:val="auto"/>
        </w:rPr>
      </w:pPr>
      <w:r>
        <w:rPr>
          <w:rFonts w:ascii="Arial" w:cs="Arial" w:eastAsia="Arial" w:hAnsi="Arial"/>
          <w:sz w:val="20"/>
          <w:szCs w:val="20"/>
          <w:b w:val="1"/>
          <w:bCs w:val="1"/>
          <w:color w:val="3B3B3B"/>
        </w:rPr>
        <w:t xml:space="preserve">Section 8.1 </w:t>
      </w:r>
      <w:r>
        <w:rPr>
          <w:rFonts w:ascii="Arial" w:cs="Arial" w:eastAsia="Arial" w:hAnsi="Arial"/>
          <w:sz w:val="20"/>
          <w:szCs w:val="20"/>
          <w:b w:val="1"/>
          <w:bCs w:val="1"/>
          <w:u w:val="single" w:color="auto"/>
          <w:color w:val="3B3B3B"/>
        </w:rPr>
        <w:t>Limitations on Collection</w:t>
      </w:r>
      <w:r>
        <w:rPr>
          <w:rFonts w:ascii="Arial" w:cs="Arial" w:eastAsia="Arial" w:hAnsi="Arial"/>
          <w:sz w:val="20"/>
          <w:szCs w:val="20"/>
          <w:color w:val="3B3B3B"/>
        </w:rPr>
        <w:t>. Except as otherwise expressly agreed to in writing by Lenders Protection and Arch</w:t>
      </w:r>
      <w:r>
        <w:rPr>
          <w:rFonts w:ascii="Arial" w:cs="Arial" w:eastAsia="Arial" w:hAnsi="Arial"/>
          <w:sz w:val="20"/>
          <w:szCs w:val="20"/>
          <w:b w:val="1"/>
          <w:bCs w:val="1"/>
          <w:color w:val="3B3B3B"/>
        </w:rPr>
        <w:t xml:space="preserve"> </w:t>
      </w:r>
      <w:r>
        <w:rPr>
          <w:rFonts w:ascii="Arial" w:cs="Arial" w:eastAsia="Arial" w:hAnsi="Arial"/>
          <w:sz w:val="20"/>
          <w:szCs w:val="20"/>
          <w:color w:val="3B3B3B"/>
        </w:rPr>
        <w:t xml:space="preserve">or as otherwise set forth herein, Arch shall not collect any consumer credit card information, social security number, financial account numbers (e.g., debit card number or bank account information), account passwords and pass codes, driver's license and/or government- issued identification number, mother's maiden name, or healthcare records in connection with the Policies. Further, Lenders Protection agrees that it shall not send or otherwise make available to Arch any information described in this </w:t>
      </w:r>
      <w:r>
        <w:rPr>
          <w:rFonts w:ascii="Arial" w:cs="Arial" w:eastAsia="Arial" w:hAnsi="Arial"/>
          <w:sz w:val="20"/>
          <w:szCs w:val="20"/>
          <w:u w:val="single" w:color="auto"/>
          <w:color w:val="3B3B3B"/>
        </w:rPr>
        <w:t>Section 8.1</w:t>
      </w:r>
      <w:r>
        <w:rPr>
          <w:rFonts w:ascii="Arial" w:cs="Arial" w:eastAsia="Arial" w:hAnsi="Arial"/>
          <w:sz w:val="20"/>
          <w:szCs w:val="20"/>
          <w:color w:val="3B3B3B"/>
        </w:rPr>
        <w:t xml:space="preserve"> unless agreed to in writing by the Parties.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C3C3C"/>
        </w:rPr>
        <w:t>ARTICLE 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C3C3C"/>
        </w:rPr>
        <w:t>INTELLECTUAL PROPERTY</w:t>
      </w:r>
    </w:p>
    <w:p>
      <w:pPr>
        <w:spacing w:after="0" w:line="204" w:lineRule="exact"/>
        <w:rPr>
          <w:sz w:val="20"/>
          <w:szCs w:val="20"/>
          <w:color w:val="auto"/>
        </w:rPr>
      </w:pPr>
    </w:p>
    <w:p>
      <w:pPr>
        <w:jc w:val="both"/>
        <w:ind w:firstLine="647"/>
        <w:spacing w:after="0" w:line="242" w:lineRule="auto"/>
        <w:rPr>
          <w:sz w:val="20"/>
          <w:szCs w:val="20"/>
          <w:color w:val="auto"/>
        </w:rPr>
      </w:pPr>
      <w:r>
        <w:rPr>
          <w:rFonts w:ascii="Arial" w:cs="Arial" w:eastAsia="Arial" w:hAnsi="Arial"/>
          <w:sz w:val="18"/>
          <w:szCs w:val="18"/>
          <w:b w:val="1"/>
          <w:bCs w:val="1"/>
          <w:color w:val="3C3C3C"/>
        </w:rPr>
        <w:t xml:space="preserve">Section 9.1 </w:t>
      </w:r>
      <w:r>
        <w:rPr>
          <w:rFonts w:ascii="Arial" w:cs="Arial" w:eastAsia="Arial" w:hAnsi="Arial"/>
          <w:sz w:val="18"/>
          <w:szCs w:val="18"/>
          <w:b w:val="1"/>
          <w:bCs w:val="1"/>
          <w:u w:val="single" w:color="auto"/>
          <w:color w:val="3C3C3C"/>
        </w:rPr>
        <w:t>Continuing Ownership</w:t>
      </w:r>
      <w:r>
        <w:rPr>
          <w:rFonts w:ascii="Arial" w:cs="Arial" w:eastAsia="Arial" w:hAnsi="Arial"/>
          <w:sz w:val="18"/>
          <w:szCs w:val="18"/>
          <w:color w:val="3C3C3C"/>
        </w:rPr>
        <w:t>. Each Party acknowledges that any Intellectual Property (as defined below) of the other</w:t>
      </w:r>
      <w:r>
        <w:rPr>
          <w:rFonts w:ascii="Arial" w:cs="Arial" w:eastAsia="Arial" w:hAnsi="Arial"/>
          <w:sz w:val="18"/>
          <w:szCs w:val="18"/>
          <w:b w:val="1"/>
          <w:bCs w:val="1"/>
          <w:color w:val="3C3C3C"/>
        </w:rPr>
        <w:t xml:space="preserve"> </w:t>
      </w:r>
      <w:r>
        <w:rPr>
          <w:rFonts w:ascii="Arial" w:cs="Arial" w:eastAsia="Arial" w:hAnsi="Arial"/>
          <w:sz w:val="18"/>
          <w:szCs w:val="18"/>
          <w:color w:val="3C3C3C"/>
        </w:rPr>
        <w:t>Party is and shall continue to be owned by such other Party subject only to any licenses that may from time-to-time be granted by one (1) Party to another. “</w:t>
      </w:r>
      <w:r>
        <w:rPr>
          <w:rFonts w:ascii="Arial" w:cs="Arial" w:eastAsia="Arial" w:hAnsi="Arial"/>
          <w:sz w:val="18"/>
          <w:szCs w:val="18"/>
          <w:u w:val="single" w:color="auto"/>
          <w:color w:val="3C3C3C"/>
        </w:rPr>
        <w:t>Intellectual Property</w:t>
      </w:r>
      <w:r>
        <w:rPr>
          <w:rFonts w:ascii="Arial" w:cs="Arial" w:eastAsia="Arial" w:hAnsi="Arial"/>
          <w:sz w:val="18"/>
          <w:szCs w:val="18"/>
          <w:color w:val="3C3C3C"/>
        </w:rPr>
        <w:t xml:space="preserve">” shall mean (a) inventions (regardless of whether filed as patent applications), patents and patent applications, (b) trademarks, service marks, trade names, trade dress and domain names, together with any goodwill associated exclusively therewith. (c) copyrights, including copyrights in computer software, (d) confidential and proprietary information, including trade secrets and know-how and (e) registrations and applications for registrations of the foregoing. Arch acknowledges and agrees that Lenders Protection's Intellectual Property expressly includes, without limitation, the Software Platform, Program, the Improvements and all information and data (including Performance Data) involved in or regarding the Software Platform, Program and/or Improvements. Both Arch and Lenders Protection hereby agree that Performance Data is owned by Lenders Protection and that Arch has a limited license to use the Performance Data as provided in </w:t>
      </w:r>
      <w:r>
        <w:rPr>
          <w:rFonts w:ascii="Arial" w:cs="Arial" w:eastAsia="Arial" w:hAnsi="Arial"/>
          <w:sz w:val="18"/>
          <w:szCs w:val="18"/>
          <w:u w:val="single" w:color="auto"/>
          <w:color w:val="3C3C3C"/>
        </w:rPr>
        <w:t>Section 9.3</w:t>
      </w:r>
      <w:r>
        <w:rPr>
          <w:rFonts w:ascii="Arial" w:cs="Arial" w:eastAsia="Arial" w:hAnsi="Arial"/>
          <w:sz w:val="18"/>
          <w:szCs w:val="18"/>
          <w:color w:val="3C3C3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13</w:t>
      </w:r>
    </w:p>
    <w:p>
      <w:pPr>
        <w:sectPr>
          <w:pgSz w:w="11900" w:h="16838" w:orient="portrait"/>
          <w:cols w:equalWidth="0" w:num="1">
            <w:col w:w="11040"/>
          </w:cols>
          <w:pgMar w:left="420" w:top="1314" w:right="439" w:bottom="1440" w:gutter="0" w:footer="0" w:header="0"/>
        </w:sectPr>
      </w:pPr>
    </w:p>
    <w:bookmarkStart w:id="46" w:name="page47"/>
    <w:bookmarkEnd w:id="46"/>
    <w:p>
      <w:pPr>
        <w:jc w:val="both"/>
        <w:ind w:left="2" w:firstLine="647"/>
        <w:spacing w:after="0" w:line="227" w:lineRule="auto"/>
        <w:rPr>
          <w:sz w:val="20"/>
          <w:szCs w:val="20"/>
          <w:color w:val="auto"/>
        </w:rPr>
      </w:pPr>
      <w:r>
        <w:rPr>
          <w:rFonts w:ascii="Arial" w:cs="Arial" w:eastAsia="Arial" w:hAnsi="Arial"/>
          <w:sz w:val="19"/>
          <w:szCs w:val="19"/>
          <w:b w:val="1"/>
          <w:bCs w:val="1"/>
          <w:color w:val="3C3C3C"/>
        </w:rPr>
        <w:t xml:space="preserve">Section 9.2 </w:t>
      </w:r>
      <w:r>
        <w:rPr>
          <w:rFonts w:ascii="Arial" w:cs="Arial" w:eastAsia="Arial" w:hAnsi="Arial"/>
          <w:sz w:val="19"/>
          <w:szCs w:val="19"/>
          <w:b w:val="1"/>
          <w:bCs w:val="1"/>
          <w:u w:val="single" w:color="auto"/>
          <w:color w:val="3C3C3C"/>
        </w:rPr>
        <w:t>Improvements to the Platform</w:t>
      </w:r>
      <w:r>
        <w:rPr>
          <w:rFonts w:ascii="Arial" w:cs="Arial" w:eastAsia="Arial" w:hAnsi="Arial"/>
          <w:sz w:val="19"/>
          <w:szCs w:val="19"/>
          <w:color w:val="3C3C3C"/>
        </w:rPr>
        <w:t>. Except for Performance Data (which is governed by</w:t>
      </w:r>
      <w:r>
        <w:rPr>
          <w:rFonts w:ascii="Arial" w:cs="Arial" w:eastAsia="Arial" w:hAnsi="Arial"/>
          <w:sz w:val="19"/>
          <w:szCs w:val="19"/>
          <w:b w:val="1"/>
          <w:bCs w:val="1"/>
          <w:color w:val="3C3C3C"/>
        </w:rPr>
        <w:t xml:space="preserve"> </w:t>
      </w:r>
      <w:r>
        <w:rPr>
          <w:rFonts w:ascii="Arial" w:cs="Arial" w:eastAsia="Arial" w:hAnsi="Arial"/>
          <w:sz w:val="19"/>
          <w:szCs w:val="19"/>
          <w:u w:val="single" w:color="auto"/>
          <w:color w:val="3C3C3C"/>
        </w:rPr>
        <w:t>Section 9.3</w:t>
      </w:r>
      <w:r>
        <w:rPr>
          <w:rFonts w:ascii="Arial" w:cs="Arial" w:eastAsia="Arial" w:hAnsi="Arial"/>
          <w:sz w:val="19"/>
          <w:szCs w:val="19"/>
          <w:color w:val="3C3C3C"/>
        </w:rPr>
        <w:t>), any</w:t>
      </w:r>
      <w:r>
        <w:rPr>
          <w:rFonts w:ascii="Arial" w:cs="Arial" w:eastAsia="Arial" w:hAnsi="Arial"/>
          <w:sz w:val="19"/>
          <w:szCs w:val="19"/>
          <w:b w:val="1"/>
          <w:bCs w:val="1"/>
          <w:color w:val="3C3C3C"/>
        </w:rPr>
        <w:t xml:space="preserve"> </w:t>
      </w:r>
      <w:r>
        <w:rPr>
          <w:rFonts w:ascii="Arial" w:cs="Arial" w:eastAsia="Arial" w:hAnsi="Arial"/>
          <w:sz w:val="19"/>
          <w:szCs w:val="19"/>
          <w:color w:val="3C3C3C"/>
        </w:rPr>
        <w:t>deliverables (including process flows, scripts and diagrams), developments, inventions, discoveries, improvements, modifications, alterations, derivative works or enhancements relating, directly or indirectly, to the Software Platform or the Program (“</w:t>
      </w:r>
      <w:r>
        <w:rPr>
          <w:rFonts w:ascii="Arial" w:cs="Arial" w:eastAsia="Arial" w:hAnsi="Arial"/>
          <w:sz w:val="19"/>
          <w:szCs w:val="19"/>
          <w:u w:val="single" w:color="auto"/>
          <w:color w:val="3C3C3C"/>
        </w:rPr>
        <w:t>Improvements</w:t>
      </w:r>
      <w:r>
        <w:rPr>
          <w:rFonts w:ascii="Arial" w:cs="Arial" w:eastAsia="Arial" w:hAnsi="Arial"/>
          <w:sz w:val="19"/>
          <w:szCs w:val="19"/>
          <w:color w:val="3C3C3C"/>
        </w:rPr>
        <w:t>”) that are made, conceived, discovered or reduced to practice by the employees or contractors of Arch, Lenders Protection (either alone or in combination with others) or Arch and Lenders Protection jointly, during and/or in the course of performance of this Agreement, together with all Intellectual Property rights therein, shall be owned exclusively by Lenders Protection and Arch covenants and agrees to execute any documentation necessary to reflect the foregoing and hereby conveys the same to Lenders Protection. Arch covenants that it will not, directly or indirectly, attack or assist another in attacking Lenders Protection's right, title and ownership of its Intellectual Property, the Software Platform, Program and/or the Improvements. Arch shall notify Lenders Protection of any infringements of its rights in Lenders Protection's Intellectual Property, the Software Platform, Program and/or Improvements coming to the attention of Arch. To the extent requested by Lenders Protection (at any time following the Effective Date hereof), Arch shall execute (and Arch shall cause all of its current and former employees and independent contractors to execute), without requirement for additional payment or consideration, such documents, agreements, patent applications or other applications for registration of Intellectual Property rights or letters of assignment that Lenders Protection deems reasonably necessary to establish, perfect and/or protect its rights to the Improvements hereunder.</w:t>
      </w:r>
    </w:p>
    <w:p>
      <w:pPr>
        <w:spacing w:after="0" w:line="181" w:lineRule="exact"/>
        <w:rPr>
          <w:sz w:val="20"/>
          <w:szCs w:val="20"/>
          <w:color w:val="auto"/>
        </w:rPr>
      </w:pPr>
    </w:p>
    <w:p>
      <w:pPr>
        <w:jc w:val="both"/>
        <w:ind w:left="2" w:firstLine="647"/>
        <w:spacing w:after="0" w:line="238" w:lineRule="auto"/>
        <w:rPr>
          <w:sz w:val="20"/>
          <w:szCs w:val="20"/>
          <w:color w:val="auto"/>
        </w:rPr>
      </w:pPr>
      <w:r>
        <w:rPr>
          <w:rFonts w:ascii="Arial" w:cs="Arial" w:eastAsia="Arial" w:hAnsi="Arial"/>
          <w:sz w:val="18"/>
          <w:szCs w:val="18"/>
          <w:b w:val="1"/>
          <w:bCs w:val="1"/>
          <w:color w:val="3C3C3C"/>
        </w:rPr>
        <w:t xml:space="preserve">Section 9.3 </w:t>
      </w:r>
      <w:r>
        <w:rPr>
          <w:rFonts w:ascii="Arial" w:cs="Arial" w:eastAsia="Arial" w:hAnsi="Arial"/>
          <w:sz w:val="18"/>
          <w:szCs w:val="18"/>
          <w:b w:val="1"/>
          <w:bCs w:val="1"/>
          <w:u w:val="single" w:color="auto"/>
          <w:color w:val="3C3C3C"/>
        </w:rPr>
        <w:t>Performance Data</w:t>
      </w:r>
      <w:r>
        <w:rPr>
          <w:rFonts w:ascii="Arial" w:cs="Arial" w:eastAsia="Arial" w:hAnsi="Arial"/>
          <w:sz w:val="18"/>
          <w:szCs w:val="18"/>
          <w:color w:val="3C3C3C"/>
        </w:rPr>
        <w:t>. The Parties agree and acknowledge that the Performance Data generated by this Program</w:t>
      </w:r>
      <w:r>
        <w:rPr>
          <w:rFonts w:ascii="Arial" w:cs="Arial" w:eastAsia="Arial" w:hAnsi="Arial"/>
          <w:sz w:val="18"/>
          <w:szCs w:val="18"/>
          <w:b w:val="1"/>
          <w:bCs w:val="1"/>
          <w:color w:val="3C3C3C"/>
        </w:rPr>
        <w:t xml:space="preserve"> </w:t>
      </w:r>
      <w:r>
        <w:rPr>
          <w:rFonts w:ascii="Arial" w:cs="Arial" w:eastAsia="Arial" w:hAnsi="Arial"/>
          <w:sz w:val="18"/>
          <w:szCs w:val="18"/>
          <w:color w:val="3C3C3C"/>
        </w:rPr>
        <w:t>related to Policies issued by Arch shall be owned by Lenders Protection and Arch will have a limited license to use the Performance Data hereto such that each Party shall, subject to the following, be permitted to use, license, possess, copy, reproduce, change, modify, adapt, enhance, revise, correct, create derivative works from, distribute and otherwise commercially exploit (“</w:t>
      </w:r>
      <w:r>
        <w:rPr>
          <w:rFonts w:ascii="Arial" w:cs="Arial" w:eastAsia="Arial" w:hAnsi="Arial"/>
          <w:sz w:val="18"/>
          <w:szCs w:val="18"/>
          <w:u w:val="single" w:color="auto"/>
          <w:color w:val="3C3C3C"/>
        </w:rPr>
        <w:t>Use</w:t>
      </w:r>
      <w:r>
        <w:rPr>
          <w:rFonts w:ascii="Arial" w:cs="Arial" w:eastAsia="Arial" w:hAnsi="Arial"/>
          <w:sz w:val="18"/>
          <w:szCs w:val="18"/>
          <w:color w:val="3C3C3C"/>
        </w:rPr>
        <w:t xml:space="preserve">”) the Performance Data, both before and after the termination or expiration of this Agreement, subject to (a) the other restrictions contained herein (including, by way of example and not limitation, exclusivity and non-competition), (b) Arch's commitment (which is hereby given) not to license, assign, transfer, distribute or otherwise make the Performance Data available to any third parties (whether before or after the termination or expiration hereof), except to Arch's Affiliates; </w:t>
      </w:r>
      <w:r>
        <w:rPr>
          <w:rFonts w:ascii="Arial" w:cs="Arial" w:eastAsia="Arial" w:hAnsi="Arial"/>
          <w:sz w:val="18"/>
          <w:szCs w:val="18"/>
          <w:u w:val="single" w:color="auto"/>
          <w:color w:val="3C3C3C"/>
        </w:rPr>
        <w:t>provided</w:t>
      </w:r>
      <w:r>
        <w:rPr>
          <w:rFonts w:ascii="Arial" w:cs="Arial" w:eastAsia="Arial" w:hAnsi="Arial"/>
          <w:sz w:val="18"/>
          <w:szCs w:val="18"/>
          <w:color w:val="3C3C3C"/>
        </w:rPr>
        <w:t xml:space="preserve">, </w:t>
      </w:r>
      <w:r>
        <w:rPr>
          <w:rFonts w:ascii="Arial" w:cs="Arial" w:eastAsia="Arial" w:hAnsi="Arial"/>
          <w:sz w:val="18"/>
          <w:szCs w:val="18"/>
          <w:u w:val="single" w:color="auto"/>
          <w:color w:val="3C3C3C"/>
        </w:rPr>
        <w:t>that</w:t>
      </w:r>
      <w:r>
        <w:rPr>
          <w:rFonts w:ascii="Arial" w:cs="Arial" w:eastAsia="Arial" w:hAnsi="Arial"/>
          <w:sz w:val="18"/>
          <w:szCs w:val="18"/>
          <w:color w:val="3C3C3C"/>
        </w:rPr>
        <w:t>, prior to such assignment,</w:t>
      </w:r>
    </w:p>
    <w:p>
      <w:pPr>
        <w:spacing w:after="0" w:line="2" w:lineRule="exact"/>
        <w:rPr>
          <w:sz w:val="20"/>
          <w:szCs w:val="20"/>
          <w:color w:val="auto"/>
        </w:rPr>
      </w:pPr>
    </w:p>
    <w:p>
      <w:pPr>
        <w:jc w:val="both"/>
        <w:ind w:left="2" w:hanging="2"/>
        <w:spacing w:after="0" w:line="225" w:lineRule="auto"/>
        <w:tabs>
          <w:tab w:leader="none" w:pos="304" w:val="left"/>
        </w:tabs>
        <w:numPr>
          <w:ilvl w:val="0"/>
          <w:numId w:val="26"/>
        </w:numPr>
        <w:rPr>
          <w:rFonts w:ascii="Arial" w:cs="Arial" w:eastAsia="Arial" w:hAnsi="Arial"/>
          <w:sz w:val="19"/>
          <w:szCs w:val="19"/>
          <w:color w:val="3A3A3A"/>
        </w:rPr>
      </w:pPr>
      <w:r>
        <w:rPr>
          <w:rFonts w:ascii="Arial" w:cs="Arial" w:eastAsia="Arial" w:hAnsi="Arial"/>
          <w:sz w:val="19"/>
          <w:szCs w:val="19"/>
          <w:color w:val="3A3A3A"/>
        </w:rPr>
        <w:t>any such Arch Affiliate agrees in writing with Lenders Protection that its obligations with respect to such Performance Data are identical to Arch's under this Agreement and (z) Arch agrees in writing with Lenders Protection that it shall be responsible and liable for the acts and/or omissions of its Affiliate on a joint and several basis, and (c) Arch's acknowledgment and agreement (which is hereby given) that its limited license in the Performance Data hereunder gives it no rights in any Improvements. Notwithstanding the foregoing, in connection with Lenders Protection's limited license to Arch, the Parties hereto acknowledge and agree (i) Arch's Use of the Performance Data will solely be in furtherance of Arch's obligations under this Agreement during the Term and, after the Term, to facilitate the Post-Termination Support and shall not, in any instance, be Used by Arch for Automatic Decisioning, (ii) only Lenders Protection shall be permitted to file and prosecute applications for the registration of and/or to enforce Intellectual Property rights with respect to the Performance Data (</w:t>
      </w:r>
      <w:r>
        <w:rPr>
          <w:rFonts w:ascii="Arial" w:cs="Arial" w:eastAsia="Arial" w:hAnsi="Arial"/>
          <w:sz w:val="19"/>
          <w:szCs w:val="19"/>
          <w:u w:val="single" w:color="auto"/>
          <w:color w:val="3A3A3A"/>
        </w:rPr>
        <w:t>provided</w:t>
      </w:r>
      <w:r>
        <w:rPr>
          <w:rFonts w:ascii="Arial" w:cs="Arial" w:eastAsia="Arial" w:hAnsi="Arial"/>
          <w:sz w:val="19"/>
          <w:szCs w:val="19"/>
          <w:color w:val="3A3A3A"/>
        </w:rPr>
        <w:t xml:space="preserve">, </w:t>
      </w:r>
      <w:r>
        <w:rPr>
          <w:rFonts w:ascii="Arial" w:cs="Arial" w:eastAsia="Arial" w:hAnsi="Arial"/>
          <w:sz w:val="19"/>
          <w:szCs w:val="19"/>
          <w:u w:val="single" w:color="auto"/>
          <w:color w:val="3A3A3A"/>
        </w:rPr>
        <w:t>however</w:t>
      </w:r>
      <w:r>
        <w:rPr>
          <w:rFonts w:ascii="Arial" w:cs="Arial" w:eastAsia="Arial" w:hAnsi="Arial"/>
          <w:sz w:val="19"/>
          <w:szCs w:val="19"/>
          <w:color w:val="3A3A3A"/>
        </w:rPr>
        <w:t>, Lenders Protection agrees that such prosecution and enforcement rights shall in no way mitigate, diminish, lessen or in any way alter the other rights explicitly provided to Arch hereunder) and (iii) no duty exists with respect to the sharing of proceeds derived from the respective exploitation of the Performance Data. Each Party agrees to provide the other, in any manner or media reasonably requested, both during the Term hereof and afterwards, a copy of the Performance Data then in the possession of such Party (</w:t>
      </w:r>
      <w:r>
        <w:rPr>
          <w:rFonts w:ascii="Arial" w:cs="Arial" w:eastAsia="Arial" w:hAnsi="Arial"/>
          <w:sz w:val="19"/>
          <w:szCs w:val="19"/>
          <w:u w:val="single" w:color="auto"/>
          <w:color w:val="3A3A3A"/>
        </w:rPr>
        <w:t>provided</w:t>
      </w:r>
      <w:r>
        <w:rPr>
          <w:rFonts w:ascii="Arial" w:cs="Arial" w:eastAsia="Arial" w:hAnsi="Arial"/>
          <w:sz w:val="19"/>
          <w:szCs w:val="19"/>
          <w:color w:val="3A3A3A"/>
        </w:rPr>
        <w:t xml:space="preserve">, </w:t>
      </w:r>
      <w:r>
        <w:rPr>
          <w:rFonts w:ascii="Arial" w:cs="Arial" w:eastAsia="Arial" w:hAnsi="Arial"/>
          <w:sz w:val="19"/>
          <w:szCs w:val="19"/>
          <w:u w:val="single" w:color="auto"/>
          <w:color w:val="3A3A3A"/>
        </w:rPr>
        <w:t>however</w:t>
      </w:r>
      <w:r>
        <w:rPr>
          <w:rFonts w:ascii="Arial" w:cs="Arial" w:eastAsia="Arial" w:hAnsi="Arial"/>
          <w:sz w:val="19"/>
          <w:szCs w:val="19"/>
          <w:i w:val="1"/>
          <w:iCs w:val="1"/>
          <w:color w:val="3A3A3A"/>
        </w:rPr>
        <w:t>,</w:t>
      </w:r>
      <w:r>
        <w:rPr>
          <w:rFonts w:ascii="Arial" w:cs="Arial" w:eastAsia="Arial" w:hAnsi="Arial"/>
          <w:sz w:val="19"/>
          <w:szCs w:val="19"/>
          <w:color w:val="3A3A3A"/>
        </w:rPr>
        <w:t xml:space="preserve"> the reasonable costs and expenses incurred to make such copy shall be reimbursed by the requesting Party). Lenders Protection reserves all rights not expressly granted herein.</w:t>
      </w:r>
    </w:p>
    <w:p>
      <w:pPr>
        <w:spacing w:after="0" w:line="186" w:lineRule="exact"/>
        <w:rPr>
          <w:sz w:val="20"/>
          <w:szCs w:val="20"/>
          <w:color w:val="auto"/>
        </w:rPr>
      </w:pPr>
    </w:p>
    <w:p>
      <w:pPr>
        <w:jc w:val="both"/>
        <w:ind w:left="2" w:firstLine="647"/>
        <w:spacing w:after="0" w:line="223" w:lineRule="auto"/>
        <w:rPr>
          <w:sz w:val="20"/>
          <w:szCs w:val="20"/>
          <w:color w:val="auto"/>
        </w:rPr>
      </w:pPr>
      <w:r>
        <w:rPr>
          <w:rFonts w:ascii="Arial" w:cs="Arial" w:eastAsia="Arial" w:hAnsi="Arial"/>
          <w:sz w:val="21"/>
          <w:szCs w:val="21"/>
          <w:b w:val="1"/>
          <w:bCs w:val="1"/>
          <w:color w:val="3A3A3A"/>
        </w:rPr>
        <w:t xml:space="preserve">Section 9.4 </w:t>
      </w:r>
      <w:r>
        <w:rPr>
          <w:rFonts w:ascii="Arial" w:cs="Arial" w:eastAsia="Arial" w:hAnsi="Arial"/>
          <w:sz w:val="21"/>
          <w:szCs w:val="21"/>
          <w:b w:val="1"/>
          <w:bCs w:val="1"/>
          <w:u w:val="single" w:color="auto"/>
          <w:color w:val="3A3A3A"/>
        </w:rPr>
        <w:t>Notice and Approval of Use of Trademarks</w:t>
      </w:r>
      <w:r>
        <w:rPr>
          <w:rFonts w:ascii="Arial" w:cs="Arial" w:eastAsia="Arial" w:hAnsi="Arial"/>
          <w:sz w:val="21"/>
          <w:szCs w:val="21"/>
          <w:color w:val="3A3A3A"/>
        </w:rPr>
        <w:t>. With the express exception of each Party's use of the other's name</w:t>
      </w:r>
      <w:r>
        <w:rPr>
          <w:rFonts w:ascii="Arial" w:cs="Arial" w:eastAsia="Arial" w:hAnsi="Arial"/>
          <w:sz w:val="21"/>
          <w:szCs w:val="21"/>
          <w:b w:val="1"/>
          <w:bCs w:val="1"/>
          <w:color w:val="3A3A3A"/>
        </w:rPr>
        <w:t xml:space="preserve"> </w:t>
      </w:r>
      <w:r>
        <w:rPr>
          <w:rFonts w:ascii="Arial" w:cs="Arial" w:eastAsia="Arial" w:hAnsi="Arial"/>
          <w:sz w:val="21"/>
          <w:szCs w:val="21"/>
          <w:color w:val="3A3A3A"/>
        </w:rPr>
        <w:t xml:space="preserve">and/or trademark's in the matters set forth on </w:t>
      </w:r>
      <w:r>
        <w:rPr>
          <w:rFonts w:ascii="Arial" w:cs="Arial" w:eastAsia="Arial" w:hAnsi="Arial"/>
          <w:sz w:val="21"/>
          <w:szCs w:val="21"/>
          <w:u w:val="single" w:color="auto"/>
          <w:color w:val="3A3A3A"/>
        </w:rPr>
        <w:t>Schedule 9.4</w:t>
      </w:r>
      <w:r>
        <w:rPr>
          <w:rFonts w:ascii="Arial" w:cs="Arial" w:eastAsia="Arial" w:hAnsi="Arial"/>
          <w:sz w:val="21"/>
          <w:szCs w:val="21"/>
          <w:color w:val="3A3A3A"/>
        </w:rPr>
        <w:t>, to which each Party hereby consents, neither Party shall be permitted to use at any time nor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Page | 14</w:t>
      </w:r>
    </w:p>
    <w:p>
      <w:pPr>
        <w:sectPr>
          <w:pgSz w:w="11900" w:h="16838" w:orient="portrait"/>
          <w:cols w:equalWidth="0" w:num="1">
            <w:col w:w="11042"/>
          </w:cols>
          <w:pgMar w:left="418" w:top="1389" w:right="439" w:bottom="1440" w:gutter="0" w:footer="0" w:header="0"/>
        </w:sectPr>
      </w:pPr>
    </w:p>
    <w:bookmarkStart w:id="47" w:name="page48"/>
    <w:bookmarkEnd w:id="47"/>
    <w:p>
      <w:pPr>
        <w:jc w:val="both"/>
        <w:ind w:left="2"/>
        <w:spacing w:after="0" w:line="229" w:lineRule="auto"/>
        <w:rPr>
          <w:sz w:val="20"/>
          <w:szCs w:val="20"/>
          <w:color w:val="auto"/>
        </w:rPr>
      </w:pPr>
      <w:r>
        <w:rPr>
          <w:rFonts w:ascii="Arial" w:cs="Arial" w:eastAsia="Arial" w:hAnsi="Arial"/>
          <w:sz w:val="19"/>
          <w:szCs w:val="19"/>
          <w:color w:val="3A3A3A"/>
        </w:rPr>
        <w:t>the other Party's trademarks, service marks, or trade names (collectively “</w:t>
      </w:r>
      <w:r>
        <w:rPr>
          <w:rFonts w:ascii="Arial" w:cs="Arial" w:eastAsia="Arial" w:hAnsi="Arial"/>
          <w:sz w:val="19"/>
          <w:szCs w:val="19"/>
          <w:u w:val="single" w:color="auto"/>
          <w:color w:val="3A3A3A"/>
        </w:rPr>
        <w:t>trademarks</w:t>
      </w:r>
      <w:r>
        <w:rPr>
          <w:rFonts w:ascii="Arial" w:cs="Arial" w:eastAsia="Arial" w:hAnsi="Arial"/>
          <w:sz w:val="19"/>
          <w:szCs w:val="19"/>
          <w:color w:val="3A3A3A"/>
        </w:rPr>
        <w:t>”) without having first received the prior approval of the other Party of such proposed use. Such approval not to be unreasonably withheld, conditioned or delayed. Any request for approval by a Party shall be submitted to the other Party by a written notice specifying: (a) the subject trademarks, and</w:t>
      </w:r>
    </w:p>
    <w:p>
      <w:pPr>
        <w:jc w:val="both"/>
        <w:ind w:left="2" w:hanging="2"/>
        <w:spacing w:after="0" w:line="212" w:lineRule="auto"/>
        <w:tabs>
          <w:tab w:leader="none" w:pos="334" w:val="left"/>
        </w:tabs>
        <w:numPr>
          <w:ilvl w:val="0"/>
          <w:numId w:val="27"/>
        </w:numPr>
        <w:rPr>
          <w:rFonts w:ascii="Arial" w:cs="Arial" w:eastAsia="Arial" w:hAnsi="Arial"/>
          <w:sz w:val="21"/>
          <w:szCs w:val="21"/>
          <w:color w:val="3A3A3A"/>
        </w:rPr>
      </w:pPr>
      <w:r>
        <w:rPr>
          <w:rFonts w:ascii="Arial" w:cs="Arial" w:eastAsia="Arial" w:hAnsi="Arial"/>
          <w:sz w:val="21"/>
          <w:szCs w:val="21"/>
          <w:color w:val="3A3A3A"/>
        </w:rPr>
        <w:t>the proposed use of such trademarks, together with samples of the proposed marketing materials and media (e.g., specific marketing piece or web page display) showing the appearance and placement of the trademarks. The other Party shall promptly provide written response, approving or disapproving, the use of its trademarks. Neither Party shall unreasonably withhold or delay its approval of the use of its trademarks.</w:t>
      </w:r>
    </w:p>
    <w:p>
      <w:pPr>
        <w:spacing w:after="0" w:line="176" w:lineRule="exact"/>
        <w:rPr>
          <w:sz w:val="20"/>
          <w:szCs w:val="20"/>
          <w:color w:val="auto"/>
        </w:rPr>
      </w:pPr>
    </w:p>
    <w:p>
      <w:pPr>
        <w:jc w:val="both"/>
        <w:ind w:left="2" w:firstLine="647"/>
        <w:spacing w:after="0" w:line="223" w:lineRule="auto"/>
        <w:rPr>
          <w:sz w:val="20"/>
          <w:szCs w:val="20"/>
          <w:color w:val="auto"/>
        </w:rPr>
      </w:pPr>
      <w:r>
        <w:rPr>
          <w:rFonts w:ascii="Arial" w:cs="Arial" w:eastAsia="Arial" w:hAnsi="Arial"/>
          <w:sz w:val="21"/>
          <w:szCs w:val="21"/>
          <w:b w:val="1"/>
          <w:bCs w:val="1"/>
          <w:color w:val="3A3A3A"/>
        </w:rPr>
        <w:t xml:space="preserve">Section 9.5 </w:t>
      </w:r>
      <w:r>
        <w:rPr>
          <w:rFonts w:ascii="Arial" w:cs="Arial" w:eastAsia="Arial" w:hAnsi="Arial"/>
          <w:sz w:val="21"/>
          <w:szCs w:val="21"/>
          <w:b w:val="1"/>
          <w:bCs w:val="1"/>
          <w:u w:val="single" w:color="auto"/>
          <w:color w:val="3A3A3A"/>
        </w:rPr>
        <w:t>Protection of Trademarks</w:t>
      </w:r>
      <w:r>
        <w:rPr>
          <w:rFonts w:ascii="Arial" w:cs="Arial" w:eastAsia="Arial" w:hAnsi="Arial"/>
          <w:sz w:val="21"/>
          <w:szCs w:val="21"/>
          <w:color w:val="3A3A3A"/>
        </w:rPr>
        <w:t>. Nothing in this Agreement shall be construed to bar Arch or Lenders Protection,</w:t>
      </w:r>
      <w:r>
        <w:rPr>
          <w:rFonts w:ascii="Arial" w:cs="Arial" w:eastAsia="Arial" w:hAnsi="Arial"/>
          <w:sz w:val="21"/>
          <w:szCs w:val="21"/>
          <w:b w:val="1"/>
          <w:bCs w:val="1"/>
          <w:color w:val="3A3A3A"/>
        </w:rPr>
        <w:t xml:space="preserve"> </w:t>
      </w:r>
      <w:r>
        <w:rPr>
          <w:rFonts w:ascii="Arial" w:cs="Arial" w:eastAsia="Arial" w:hAnsi="Arial"/>
          <w:sz w:val="21"/>
          <w:szCs w:val="21"/>
          <w:color w:val="3A3A3A"/>
        </w:rPr>
        <w:t>prior to or after the expiration or termination of this Agreement, from protecting their respective rights to the exclusive use of their respective trademarks against infringement by any Party or Parties, including the other Party.</w:t>
      </w:r>
    </w:p>
    <w:p>
      <w:pPr>
        <w:spacing w:after="0" w:line="177" w:lineRule="exact"/>
        <w:rPr>
          <w:sz w:val="20"/>
          <w:szCs w:val="20"/>
          <w:color w:val="auto"/>
        </w:rPr>
      </w:pPr>
    </w:p>
    <w:p>
      <w:pPr>
        <w:jc w:val="both"/>
        <w:ind w:left="2" w:firstLine="647"/>
        <w:spacing w:after="0" w:line="234" w:lineRule="auto"/>
        <w:rPr>
          <w:sz w:val="20"/>
          <w:szCs w:val="20"/>
          <w:color w:val="auto"/>
        </w:rPr>
      </w:pPr>
      <w:r>
        <w:rPr>
          <w:rFonts w:ascii="Arial" w:cs="Arial" w:eastAsia="Arial" w:hAnsi="Arial"/>
          <w:sz w:val="19"/>
          <w:szCs w:val="19"/>
          <w:b w:val="1"/>
          <w:bCs w:val="1"/>
          <w:color w:val="3A3A3A"/>
        </w:rPr>
        <w:t xml:space="preserve">Section 9.6 </w:t>
      </w:r>
      <w:r>
        <w:rPr>
          <w:rFonts w:ascii="Arial" w:cs="Arial" w:eastAsia="Arial" w:hAnsi="Arial"/>
          <w:sz w:val="19"/>
          <w:szCs w:val="19"/>
          <w:b w:val="1"/>
          <w:bCs w:val="1"/>
          <w:u w:val="single" w:color="auto"/>
          <w:color w:val="3A3A3A"/>
        </w:rPr>
        <w:t>Injunctive Relief</w:t>
      </w:r>
      <w:r>
        <w:rPr>
          <w:rFonts w:ascii="Arial" w:cs="Arial" w:eastAsia="Arial" w:hAnsi="Arial"/>
          <w:sz w:val="19"/>
          <w:szCs w:val="19"/>
          <w:color w:val="3A3A3A"/>
        </w:rPr>
        <w:t>. Arch and Lenders Protection recognize that each of their respective trademarks possess a</w:t>
      </w:r>
      <w:r>
        <w:rPr>
          <w:rFonts w:ascii="Arial" w:cs="Arial" w:eastAsia="Arial" w:hAnsi="Arial"/>
          <w:sz w:val="19"/>
          <w:szCs w:val="19"/>
          <w:b w:val="1"/>
          <w:bCs w:val="1"/>
          <w:color w:val="3A3A3A"/>
        </w:rPr>
        <w:t xml:space="preserve"> </w:t>
      </w:r>
      <w:r>
        <w:rPr>
          <w:rFonts w:ascii="Arial" w:cs="Arial" w:eastAsia="Arial" w:hAnsi="Arial"/>
          <w:sz w:val="19"/>
          <w:szCs w:val="19"/>
          <w:color w:val="3A3A3A"/>
        </w:rPr>
        <w:t xml:space="preserve">special, unique and extraordinary character which makes it difficult to assess the monetary damages a Party would sustain in the event of unauthorized use. Each Party expressly recognizes and agrees that irreparable injury would be caused to the other Party by such unauthorized use and that preliminary or permanent injunctive relief would be appropriate in the event of breach of this </w:t>
      </w:r>
      <w:r>
        <w:rPr>
          <w:rFonts w:ascii="Arial" w:cs="Arial" w:eastAsia="Arial" w:hAnsi="Arial"/>
          <w:sz w:val="19"/>
          <w:szCs w:val="19"/>
          <w:u w:val="single" w:color="auto"/>
          <w:color w:val="3A3A3A"/>
        </w:rPr>
        <w:t>Section</w:t>
      </w:r>
      <w:r>
        <w:rPr>
          <w:rFonts w:ascii="Arial" w:cs="Arial" w:eastAsia="Arial" w:hAnsi="Arial"/>
          <w:sz w:val="19"/>
          <w:szCs w:val="19"/>
          <w:color w:val="3A3A3A"/>
        </w:rPr>
        <w:t xml:space="preserve"> </w:t>
      </w:r>
      <w:r>
        <w:rPr>
          <w:rFonts w:ascii="Arial" w:cs="Arial" w:eastAsia="Arial" w:hAnsi="Arial"/>
          <w:sz w:val="19"/>
          <w:szCs w:val="19"/>
          <w:u w:val="single" w:color="auto"/>
          <w:color w:val="3A3A3A"/>
        </w:rPr>
        <w:t>9.6</w:t>
      </w:r>
      <w:r>
        <w:rPr>
          <w:rFonts w:ascii="Arial" w:cs="Arial" w:eastAsia="Arial" w:hAnsi="Arial"/>
          <w:sz w:val="19"/>
          <w:szCs w:val="19"/>
          <w:color w:val="3A3A3A"/>
        </w:rPr>
        <w:t xml:space="preserve"> by the other, Party; </w:t>
      </w:r>
      <w:r>
        <w:rPr>
          <w:rFonts w:ascii="Arial" w:cs="Arial" w:eastAsia="Arial" w:hAnsi="Arial"/>
          <w:sz w:val="19"/>
          <w:szCs w:val="19"/>
          <w:u w:val="single" w:color="auto"/>
          <w:color w:val="3A3A3A"/>
        </w:rPr>
        <w:t>provided</w:t>
      </w:r>
      <w:r>
        <w:rPr>
          <w:rFonts w:ascii="Arial" w:cs="Arial" w:eastAsia="Arial" w:hAnsi="Arial"/>
          <w:sz w:val="19"/>
          <w:szCs w:val="19"/>
          <w:color w:val="3A3A3A"/>
        </w:rPr>
        <w:t xml:space="preserve">, </w:t>
      </w:r>
      <w:r>
        <w:rPr>
          <w:rFonts w:ascii="Arial" w:cs="Arial" w:eastAsia="Arial" w:hAnsi="Arial"/>
          <w:sz w:val="19"/>
          <w:szCs w:val="19"/>
          <w:u w:val="single" w:color="auto"/>
          <w:color w:val="3A3A3A"/>
        </w:rPr>
        <w:t>that</w:t>
      </w:r>
      <w:r>
        <w:rPr>
          <w:rFonts w:ascii="Arial" w:cs="Arial" w:eastAsia="Arial" w:hAnsi="Arial"/>
          <w:sz w:val="19"/>
          <w:szCs w:val="19"/>
          <w:color w:val="3A3A3A"/>
        </w:rPr>
        <w:t xml:space="preserve">, such remedy would not exclude other remedies otherwise available to Arch or Lenders Protection. The obligations under this </w:t>
      </w:r>
      <w:r>
        <w:rPr>
          <w:rFonts w:ascii="Arial" w:cs="Arial" w:eastAsia="Arial" w:hAnsi="Arial"/>
          <w:sz w:val="19"/>
          <w:szCs w:val="19"/>
          <w:u w:val="single" w:color="auto"/>
          <w:color w:val="3A3A3A"/>
        </w:rPr>
        <w:t>Article 9</w:t>
      </w:r>
      <w:r>
        <w:rPr>
          <w:rFonts w:ascii="Arial" w:cs="Arial" w:eastAsia="Arial" w:hAnsi="Arial"/>
          <w:sz w:val="19"/>
          <w:szCs w:val="19"/>
          <w:color w:val="3A3A3A"/>
        </w:rPr>
        <w:t xml:space="preserve"> shall survive the expiration or termination of this Agreement.</w:t>
      </w:r>
    </w:p>
    <w:p>
      <w:pPr>
        <w:spacing w:after="0" w:line="315" w:lineRule="exact"/>
        <w:rPr>
          <w:sz w:val="20"/>
          <w:szCs w:val="20"/>
          <w:color w:val="auto"/>
        </w:rPr>
      </w:pPr>
    </w:p>
    <w:p>
      <w:pPr>
        <w:jc w:val="center"/>
        <w:ind w:right="-1"/>
        <w:spacing w:after="0"/>
        <w:rPr>
          <w:sz w:val="20"/>
          <w:szCs w:val="20"/>
          <w:color w:val="auto"/>
        </w:rPr>
      </w:pPr>
      <w:r>
        <w:rPr>
          <w:rFonts w:ascii="Arial" w:cs="Arial" w:eastAsia="Arial" w:hAnsi="Arial"/>
          <w:sz w:val="21"/>
          <w:szCs w:val="21"/>
          <w:b w:val="1"/>
          <w:bCs w:val="1"/>
          <w:color w:val="3B3B3B"/>
        </w:rPr>
        <w:t>ARTICLE 10</w:t>
      </w:r>
    </w:p>
    <w:p>
      <w:pPr>
        <w:spacing w:after="0" w:line="96" w:lineRule="exact"/>
        <w:rPr>
          <w:sz w:val="20"/>
          <w:szCs w:val="20"/>
          <w:color w:val="auto"/>
        </w:rPr>
      </w:pPr>
    </w:p>
    <w:p>
      <w:pPr>
        <w:jc w:val="center"/>
        <w:ind w:right="-21"/>
        <w:spacing w:after="0"/>
        <w:rPr>
          <w:sz w:val="20"/>
          <w:szCs w:val="20"/>
          <w:color w:val="auto"/>
        </w:rPr>
      </w:pPr>
      <w:r>
        <w:rPr>
          <w:rFonts w:ascii="Arial" w:cs="Arial" w:eastAsia="Arial" w:hAnsi="Arial"/>
          <w:sz w:val="21"/>
          <w:szCs w:val="21"/>
          <w:b w:val="1"/>
          <w:bCs w:val="1"/>
          <w:u w:val="single" w:color="auto"/>
          <w:color w:val="3B3B3B"/>
        </w:rPr>
        <w:t>CONFIDENTIALITY</w:t>
      </w:r>
    </w:p>
    <w:p>
      <w:pPr>
        <w:spacing w:after="0" w:line="204" w:lineRule="exact"/>
        <w:rPr>
          <w:sz w:val="20"/>
          <w:szCs w:val="20"/>
          <w:color w:val="auto"/>
        </w:rPr>
      </w:pPr>
    </w:p>
    <w:p>
      <w:pPr>
        <w:jc w:val="both"/>
        <w:ind w:left="2" w:firstLine="647"/>
        <w:spacing w:after="0" w:line="225" w:lineRule="auto"/>
        <w:rPr>
          <w:sz w:val="20"/>
          <w:szCs w:val="20"/>
          <w:color w:val="auto"/>
        </w:rPr>
      </w:pPr>
      <w:r>
        <w:rPr>
          <w:rFonts w:ascii="Arial" w:cs="Arial" w:eastAsia="Arial" w:hAnsi="Arial"/>
          <w:sz w:val="19"/>
          <w:szCs w:val="19"/>
          <w:b w:val="1"/>
          <w:bCs w:val="1"/>
          <w:color w:val="3B3B3B"/>
        </w:rPr>
        <w:t xml:space="preserve">Section 10.l </w:t>
      </w:r>
      <w:r>
        <w:rPr>
          <w:rFonts w:ascii="Arial" w:cs="Arial" w:eastAsia="Arial" w:hAnsi="Arial"/>
          <w:sz w:val="19"/>
          <w:szCs w:val="19"/>
          <w:color w:val="3B3B3B"/>
        </w:rPr>
        <w:t>By virtue of the relationship between the Parties, each Party may have access to trade secrets and information</w:t>
      </w:r>
      <w:r>
        <w:rPr>
          <w:rFonts w:ascii="Arial" w:cs="Arial" w:eastAsia="Arial" w:hAnsi="Arial"/>
          <w:sz w:val="19"/>
          <w:szCs w:val="19"/>
          <w:b w:val="1"/>
          <w:bCs w:val="1"/>
          <w:color w:val="3B3B3B"/>
        </w:rPr>
        <w:t xml:space="preserve"> </w:t>
      </w:r>
      <w:r>
        <w:rPr>
          <w:rFonts w:ascii="Arial" w:cs="Arial" w:eastAsia="Arial" w:hAnsi="Arial"/>
          <w:sz w:val="19"/>
          <w:szCs w:val="19"/>
          <w:color w:val="3B3B3B"/>
        </w:rPr>
        <w:t>that is confidential and/or proprietary to the other Party (collectively “</w:t>
      </w:r>
      <w:r>
        <w:rPr>
          <w:rFonts w:ascii="Arial" w:cs="Arial" w:eastAsia="Arial" w:hAnsi="Arial"/>
          <w:sz w:val="19"/>
          <w:szCs w:val="19"/>
          <w:u w:val="single" w:color="auto"/>
          <w:color w:val="3B3B3B"/>
        </w:rPr>
        <w:t>Confidential Information</w:t>
      </w:r>
      <w:r>
        <w:rPr>
          <w:rFonts w:ascii="Arial" w:cs="Arial" w:eastAsia="Arial" w:hAnsi="Arial"/>
          <w:sz w:val="19"/>
          <w:szCs w:val="19"/>
          <w:color w:val="3B3B3B"/>
        </w:rPr>
        <w:t>”). The Party which discloses to the other Party Confidential Information shall be referred to herein as the “</w:t>
      </w:r>
      <w:r>
        <w:rPr>
          <w:rFonts w:ascii="Arial" w:cs="Arial" w:eastAsia="Arial" w:hAnsi="Arial"/>
          <w:sz w:val="19"/>
          <w:szCs w:val="19"/>
          <w:u w:val="single" w:color="auto"/>
          <w:color w:val="3B3B3B"/>
        </w:rPr>
        <w:t>Disclosing Party</w:t>
      </w:r>
      <w:r>
        <w:rPr>
          <w:rFonts w:ascii="Arial" w:cs="Arial" w:eastAsia="Arial" w:hAnsi="Arial"/>
          <w:sz w:val="19"/>
          <w:szCs w:val="19"/>
          <w:color w:val="3B3B3B"/>
        </w:rPr>
        <w:t>” and the Party to which the Disclosing Party discloses Confidential Information shall be referred to herein as the “</w:t>
      </w:r>
      <w:r>
        <w:rPr>
          <w:rFonts w:ascii="Arial" w:cs="Arial" w:eastAsia="Arial" w:hAnsi="Arial"/>
          <w:sz w:val="19"/>
          <w:szCs w:val="19"/>
          <w:u w:val="single" w:color="auto"/>
          <w:color w:val="3B3B3B"/>
        </w:rPr>
        <w:t>Receiving Party</w:t>
      </w:r>
      <w:r>
        <w:rPr>
          <w:rFonts w:ascii="Arial" w:cs="Arial" w:eastAsia="Arial" w:hAnsi="Arial"/>
          <w:sz w:val="19"/>
          <w:szCs w:val="19"/>
          <w:color w:val="3B3B3B"/>
        </w:rPr>
        <w:t>”. Confidential Information shall include but is not limited to information regarding each other's operations, data processing and procedures, billing and collection procedures, Policy holder information, formulas, methods, know-how, processes, data, designs, new products, developmental work, marketing requirements, marketing plans, the terms and pricing under this Agreement, and all information identified by the Disclosing Party at the time of disclosure as confidential or proprietary or which the Receiving Party knows, or should know given the circumstances of the disclosure or the nature of the information disclosed is treated as confidential by the Disclosing Party. Confidential Information shall not include information that (a) is or becomes a part of the public domain through no act or omission of the Receiving Party;</w:t>
      </w:r>
    </w:p>
    <w:p>
      <w:pPr>
        <w:spacing w:after="0" w:line="1" w:lineRule="exact"/>
        <w:rPr>
          <w:sz w:val="20"/>
          <w:szCs w:val="20"/>
          <w:color w:val="auto"/>
        </w:rPr>
      </w:pPr>
    </w:p>
    <w:p>
      <w:pPr>
        <w:ind w:left="2" w:hanging="2"/>
        <w:spacing w:after="0" w:line="201" w:lineRule="auto"/>
        <w:tabs>
          <w:tab w:leader="none" w:pos="311" w:val="left"/>
        </w:tabs>
        <w:numPr>
          <w:ilvl w:val="0"/>
          <w:numId w:val="28"/>
        </w:numPr>
        <w:rPr>
          <w:rFonts w:ascii="Arial" w:cs="Arial" w:eastAsia="Arial" w:hAnsi="Arial"/>
          <w:sz w:val="21"/>
          <w:szCs w:val="21"/>
          <w:color w:val="3B3B3B"/>
        </w:rPr>
      </w:pPr>
      <w:r>
        <w:rPr>
          <w:rFonts w:ascii="Arial" w:cs="Arial" w:eastAsia="Arial" w:hAnsi="Arial"/>
          <w:sz w:val="21"/>
          <w:szCs w:val="21"/>
          <w:color w:val="3B3B3B"/>
        </w:rPr>
        <w:t>was in the Receiving Party's lawful possession prior to the disclosure and had not been obtained by the Receiving Party either directly or indirectly from the Disclosing Party;</w:t>
      </w:r>
    </w:p>
    <w:p>
      <w:pPr>
        <w:spacing w:after="0" w:line="1" w:lineRule="exact"/>
        <w:rPr>
          <w:sz w:val="20"/>
          <w:szCs w:val="20"/>
          <w:color w:val="auto"/>
        </w:rPr>
      </w:pPr>
    </w:p>
    <w:p>
      <w:pPr>
        <w:jc w:val="both"/>
        <w:ind w:left="2" w:hanging="2"/>
        <w:spacing w:after="0" w:line="220" w:lineRule="auto"/>
        <w:tabs>
          <w:tab w:leader="none" w:pos="556" w:val="left"/>
        </w:tabs>
        <w:numPr>
          <w:ilvl w:val="0"/>
          <w:numId w:val="29"/>
        </w:numPr>
        <w:rPr>
          <w:rFonts w:ascii="Arial" w:cs="Arial" w:eastAsia="Arial" w:hAnsi="Arial"/>
          <w:sz w:val="20"/>
          <w:szCs w:val="20"/>
          <w:color w:val="3B3B3B"/>
        </w:rPr>
      </w:pPr>
      <w:r>
        <w:rPr>
          <w:rFonts w:ascii="Arial" w:cs="Arial" w:eastAsia="Arial" w:hAnsi="Arial"/>
          <w:sz w:val="20"/>
          <w:szCs w:val="20"/>
          <w:color w:val="3B3B3B"/>
        </w:rPr>
        <w:t>is lawfully disclosed to the Receiving Party by a third party without restriction on disclosure; or (d) is independently developed by the Receiving Party. The Receiving Party agrees to hold (and agrees to cause the agents and employees of the Receiving Party to hold) the Disclosing Party's Confidential Information in strict confidence at all times during and after the Term hereof and, with respect to Confidential Information that constitutes “trade secrets” under Applicable Law, until such information ceases to be a trade secret under Applicable Law. The Receiving Party agrees, unless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
        <w:spacing w:after="0"/>
        <w:rPr>
          <w:sz w:val="20"/>
          <w:szCs w:val="20"/>
          <w:color w:val="auto"/>
        </w:rPr>
      </w:pPr>
      <w:r>
        <w:rPr>
          <w:rFonts w:ascii="Arial" w:cs="Arial" w:eastAsia="Arial" w:hAnsi="Arial"/>
          <w:sz w:val="20"/>
          <w:szCs w:val="20"/>
          <w:color w:val="auto"/>
        </w:rPr>
        <w:t>Page | 15</w:t>
      </w:r>
    </w:p>
    <w:p>
      <w:pPr>
        <w:sectPr>
          <w:pgSz w:w="11900" w:h="16838" w:orient="portrait"/>
          <w:cols w:equalWidth="0" w:num="1">
            <w:col w:w="11042"/>
          </w:cols>
          <w:pgMar w:left="418" w:top="1395" w:right="439" w:bottom="1440" w:gutter="0" w:footer="0" w:header="0"/>
        </w:sectPr>
      </w:pPr>
    </w:p>
    <w:bookmarkStart w:id="48" w:name="page49"/>
    <w:bookmarkEnd w:id="48"/>
    <w:p>
      <w:pPr>
        <w:jc w:val="both"/>
        <w:spacing w:after="0" w:line="220" w:lineRule="auto"/>
        <w:rPr>
          <w:sz w:val="20"/>
          <w:szCs w:val="20"/>
          <w:color w:val="auto"/>
        </w:rPr>
      </w:pPr>
      <w:r>
        <w:rPr>
          <w:rFonts w:ascii="Arial" w:cs="Arial" w:eastAsia="Arial" w:hAnsi="Arial"/>
          <w:sz w:val="20"/>
          <w:szCs w:val="20"/>
          <w:color w:val="3B3B3B"/>
        </w:rPr>
        <w:t>not to make the Disclosing Party's Confidential Information available in any form to any third party or to use the Disclosing Party's Confidential Information for any purpose other than the implementation of this Agreement. Confidential Information may be shared with the Receiving Party's employees or agents on a need to know basis only. The Receiving Party agrees to take all reasonable steps to ensure that Confidential Information is not disclosed or distributed by its employees or agents in violation of the terms of this Agreement. To the extent requested in writing by the Disclosing Party, the Receiving Party shall return or destroy (as directed by the Receiving Party) all Confidential Information received from the Disclosing Party hereunder and shall, if requested, certify to such return or destruction upon request.</w:t>
      </w:r>
    </w:p>
    <w:p>
      <w:pPr>
        <w:spacing w:after="0" w:line="179" w:lineRule="exact"/>
        <w:rPr>
          <w:sz w:val="20"/>
          <w:szCs w:val="20"/>
          <w:color w:val="auto"/>
        </w:rPr>
      </w:pPr>
    </w:p>
    <w:p>
      <w:pPr>
        <w:jc w:val="both"/>
        <w:ind w:firstLine="647"/>
        <w:spacing w:after="0" w:line="230" w:lineRule="auto"/>
        <w:rPr>
          <w:sz w:val="20"/>
          <w:szCs w:val="20"/>
          <w:color w:val="auto"/>
        </w:rPr>
      </w:pPr>
      <w:r>
        <w:rPr>
          <w:rFonts w:ascii="Arial" w:cs="Arial" w:eastAsia="Arial" w:hAnsi="Arial"/>
          <w:sz w:val="19"/>
          <w:szCs w:val="19"/>
          <w:b w:val="1"/>
          <w:bCs w:val="1"/>
          <w:color w:val="3B3B3B"/>
        </w:rPr>
        <w:t xml:space="preserve">Section 10.2 </w:t>
      </w:r>
      <w:r>
        <w:rPr>
          <w:rFonts w:ascii="Arial" w:cs="Arial" w:eastAsia="Arial" w:hAnsi="Arial"/>
          <w:sz w:val="19"/>
          <w:szCs w:val="19"/>
          <w:color w:val="3B3B3B"/>
        </w:rPr>
        <w:t>If disclosure of any Confidential Information is compelled by court order, subpoena or other legal process, the</w:t>
      </w:r>
      <w:r>
        <w:rPr>
          <w:rFonts w:ascii="Arial" w:cs="Arial" w:eastAsia="Arial" w:hAnsi="Arial"/>
          <w:sz w:val="19"/>
          <w:szCs w:val="19"/>
          <w:b w:val="1"/>
          <w:bCs w:val="1"/>
          <w:color w:val="3B3B3B"/>
        </w:rPr>
        <w:t xml:space="preserve"> </w:t>
      </w:r>
      <w:r>
        <w:rPr>
          <w:rFonts w:ascii="Arial" w:cs="Arial" w:eastAsia="Arial" w:hAnsi="Arial"/>
          <w:sz w:val="19"/>
          <w:szCs w:val="19"/>
          <w:color w:val="3B3B3B"/>
        </w:rPr>
        <w:t xml:space="preserve">Receiving Party shall, to the extent reasonably possible, give the Disclosing Party reasonable prior notice to enable the Disclosing Party to consent to such order or seek a protective order or other appropriate remedy. The Parties agree that any breach of obligations under this </w:t>
      </w:r>
      <w:r>
        <w:rPr>
          <w:rFonts w:ascii="Arial" w:cs="Arial" w:eastAsia="Arial" w:hAnsi="Arial"/>
          <w:sz w:val="19"/>
          <w:szCs w:val="19"/>
          <w:u w:val="single" w:color="auto"/>
          <w:color w:val="3B3B3B"/>
        </w:rPr>
        <w:t>Article 10</w:t>
      </w:r>
      <w:r>
        <w:rPr>
          <w:rFonts w:ascii="Arial" w:cs="Arial" w:eastAsia="Arial" w:hAnsi="Arial"/>
          <w:sz w:val="19"/>
          <w:szCs w:val="19"/>
          <w:color w:val="3B3B3B"/>
        </w:rPr>
        <w:t xml:space="preserve"> will be a material breach of this Agreement and result in irreparable harm to the Disclosing Party, for which damages would be an inadequate remedy. In addition to the rights and remedies otherwise available at law, the Disclosing Party will be entitled to seek equitable relief; including injunction without the necessity of posting a bond, in the event of such breach and to recover its reasonable attorneys' fees. The Receiving Party agrees to be responsible for any breach of this </w:t>
      </w:r>
      <w:r>
        <w:rPr>
          <w:rFonts w:ascii="Arial" w:cs="Arial" w:eastAsia="Arial" w:hAnsi="Arial"/>
          <w:sz w:val="19"/>
          <w:szCs w:val="19"/>
          <w:u w:val="single" w:color="auto"/>
          <w:color w:val="3B3B3B"/>
        </w:rPr>
        <w:t>Article 10</w:t>
      </w:r>
      <w:r>
        <w:rPr>
          <w:rFonts w:ascii="Arial" w:cs="Arial" w:eastAsia="Arial" w:hAnsi="Arial"/>
          <w:sz w:val="19"/>
          <w:szCs w:val="19"/>
          <w:color w:val="3B3B3B"/>
        </w:rPr>
        <w:t xml:space="preserve"> by any employee or agent acting within its reasonable control, including the payment of court costs and legal fees. The obligations under this </w:t>
      </w:r>
      <w:r>
        <w:rPr>
          <w:rFonts w:ascii="Arial" w:cs="Arial" w:eastAsia="Arial" w:hAnsi="Arial"/>
          <w:sz w:val="19"/>
          <w:szCs w:val="19"/>
          <w:u w:val="single" w:color="auto"/>
          <w:color w:val="3B3B3B"/>
        </w:rPr>
        <w:t>Article 10</w:t>
      </w:r>
      <w:r>
        <w:rPr>
          <w:rFonts w:ascii="Arial" w:cs="Arial" w:eastAsia="Arial" w:hAnsi="Arial"/>
          <w:sz w:val="19"/>
          <w:szCs w:val="19"/>
          <w:color w:val="3B3B3B"/>
        </w:rPr>
        <w:t xml:space="preserve"> shall survive the expiration or termination of this Agreement.</w:t>
      </w:r>
    </w:p>
    <w:p>
      <w:pPr>
        <w:spacing w:after="0" w:line="316" w:lineRule="exact"/>
        <w:rPr>
          <w:sz w:val="20"/>
          <w:szCs w:val="20"/>
          <w:color w:val="auto"/>
        </w:rPr>
      </w:pPr>
    </w:p>
    <w:p>
      <w:pPr>
        <w:ind w:left="4940"/>
        <w:spacing w:after="0"/>
        <w:rPr>
          <w:sz w:val="20"/>
          <w:szCs w:val="20"/>
          <w:color w:val="auto"/>
        </w:rPr>
      </w:pPr>
      <w:r>
        <w:rPr>
          <w:rFonts w:ascii="Arial" w:cs="Arial" w:eastAsia="Arial" w:hAnsi="Arial"/>
          <w:sz w:val="21"/>
          <w:szCs w:val="21"/>
          <w:b w:val="1"/>
          <w:bCs w:val="1"/>
          <w:color w:val="3B3B3B"/>
        </w:rPr>
        <w:t>ARTICLE 11</w:t>
      </w:r>
    </w:p>
    <w:p>
      <w:pPr>
        <w:spacing w:after="0" w:line="96" w:lineRule="exact"/>
        <w:rPr>
          <w:sz w:val="20"/>
          <w:szCs w:val="20"/>
          <w:color w:val="auto"/>
        </w:rPr>
      </w:pPr>
    </w:p>
    <w:p>
      <w:pPr>
        <w:ind w:left="4900"/>
        <w:spacing w:after="0"/>
        <w:rPr>
          <w:sz w:val="20"/>
          <w:szCs w:val="20"/>
          <w:color w:val="auto"/>
        </w:rPr>
      </w:pPr>
      <w:r>
        <w:rPr>
          <w:rFonts w:ascii="Arial" w:cs="Arial" w:eastAsia="Arial" w:hAnsi="Arial"/>
          <w:sz w:val="21"/>
          <w:szCs w:val="21"/>
          <w:b w:val="1"/>
          <w:bCs w:val="1"/>
          <w:u w:val="single" w:color="auto"/>
          <w:color w:val="3B3B3B"/>
        </w:rPr>
        <w:t>INSURANCE</w:t>
      </w:r>
    </w:p>
    <w:p>
      <w:pPr>
        <w:spacing w:after="0" w:line="204" w:lineRule="exact"/>
        <w:rPr>
          <w:sz w:val="20"/>
          <w:szCs w:val="20"/>
          <w:color w:val="auto"/>
        </w:rPr>
      </w:pPr>
    </w:p>
    <w:p>
      <w:pPr>
        <w:jc w:val="both"/>
        <w:ind w:firstLine="647"/>
        <w:spacing w:after="0" w:line="221" w:lineRule="auto"/>
        <w:rPr>
          <w:sz w:val="20"/>
          <w:szCs w:val="20"/>
          <w:color w:val="auto"/>
        </w:rPr>
      </w:pPr>
      <w:r>
        <w:rPr>
          <w:rFonts w:ascii="Arial" w:cs="Arial" w:eastAsia="Arial" w:hAnsi="Arial"/>
          <w:sz w:val="20"/>
          <w:szCs w:val="20"/>
          <w:b w:val="1"/>
          <w:bCs w:val="1"/>
          <w:color w:val="3B3B3B"/>
        </w:rPr>
        <w:t xml:space="preserve">Section 11.1 </w:t>
      </w:r>
      <w:r>
        <w:rPr>
          <w:rFonts w:ascii="Arial" w:cs="Arial" w:eastAsia="Arial" w:hAnsi="Arial"/>
          <w:sz w:val="20"/>
          <w:szCs w:val="20"/>
          <w:color w:val="3B3B3B"/>
        </w:rPr>
        <w:t>During the Term, each of the Parties hereto shall secure and maintain, at its own expense, and shall require all</w:t>
      </w:r>
      <w:r>
        <w:rPr>
          <w:rFonts w:ascii="Arial" w:cs="Arial" w:eastAsia="Arial" w:hAnsi="Arial"/>
          <w:sz w:val="20"/>
          <w:szCs w:val="20"/>
          <w:b w:val="1"/>
          <w:bCs w:val="1"/>
          <w:color w:val="3B3B3B"/>
        </w:rPr>
        <w:t xml:space="preserve"> </w:t>
      </w:r>
      <w:r>
        <w:rPr>
          <w:rFonts w:ascii="Arial" w:cs="Arial" w:eastAsia="Arial" w:hAnsi="Arial"/>
          <w:sz w:val="20"/>
          <w:szCs w:val="20"/>
          <w:color w:val="3B3B3B"/>
        </w:rPr>
        <w:t>Subcontractors to secure and maintain, at such Subcontractor's own expense, the following insurance with insurance companies qualified to do business in the jurisdiction in which the services will be performed and rating A-VII or better in the current Best's Insurance Reports published by A.M. Best Company. Said policy or policies shall not be canceled or altered without at least [***] prior written notice to the other Party. The insurance coverages and limits required to be maintained by the Parties and their respective Subcontractors shall be primary to insurance coverage, if any, maintained by the other. Each Party and its Subcontractors and their underwriters shall waive all right of subrogation against the other.</w:t>
      </w:r>
    </w:p>
    <w:p>
      <w:pPr>
        <w:spacing w:after="0" w:line="184" w:lineRule="exact"/>
        <w:rPr>
          <w:sz w:val="20"/>
          <w:szCs w:val="20"/>
          <w:color w:val="auto"/>
        </w:rPr>
      </w:pPr>
    </w:p>
    <w:p>
      <w:pPr>
        <w:ind w:left="-100" w:firstLine="1303"/>
        <w:spacing w:after="0" w:line="232" w:lineRule="auto"/>
        <w:tabs>
          <w:tab w:leader="none" w:pos="1843" w:val="left"/>
        </w:tabs>
        <w:numPr>
          <w:ilvl w:val="0"/>
          <w:numId w:val="30"/>
        </w:numPr>
        <w:rPr>
          <w:rFonts w:ascii="Arial" w:cs="Arial" w:eastAsia="Arial" w:hAnsi="Arial"/>
          <w:sz w:val="21"/>
          <w:szCs w:val="21"/>
          <w:color w:val="3B3B3B"/>
        </w:rPr>
      </w:pPr>
      <w:r>
        <w:rPr>
          <w:rFonts w:ascii="Arial" w:cs="Arial" w:eastAsia="Arial" w:hAnsi="Arial"/>
          <w:sz w:val="21"/>
          <w:szCs w:val="21"/>
          <w:color w:val="3B3B3B"/>
        </w:rPr>
        <w:t>Worker's Compensation Insurance which shall fully comply with the statutory requirements of all applicable state and federal laws and Employers Liability Insurance which limit shall be [***].</w:t>
      </w:r>
    </w:p>
    <w:p>
      <w:pPr>
        <w:spacing w:after="0" w:line="181" w:lineRule="exact"/>
        <w:rPr>
          <w:rFonts w:ascii="Arial" w:cs="Arial" w:eastAsia="Arial" w:hAnsi="Arial"/>
          <w:sz w:val="21"/>
          <w:szCs w:val="21"/>
          <w:color w:val="3B3B3B"/>
        </w:rPr>
      </w:pPr>
    </w:p>
    <w:p>
      <w:pPr>
        <w:ind w:left="-100" w:right="20" w:firstLine="1303"/>
        <w:spacing w:after="0" w:line="232" w:lineRule="auto"/>
        <w:tabs>
          <w:tab w:leader="none" w:pos="1841" w:val="left"/>
        </w:tabs>
        <w:numPr>
          <w:ilvl w:val="0"/>
          <w:numId w:val="30"/>
        </w:numPr>
        <w:rPr>
          <w:rFonts w:ascii="Arial" w:cs="Arial" w:eastAsia="Arial" w:hAnsi="Arial"/>
          <w:sz w:val="21"/>
          <w:szCs w:val="21"/>
          <w:color w:val="3B3B3B"/>
        </w:rPr>
      </w:pPr>
      <w:r>
        <w:rPr>
          <w:rFonts w:ascii="Arial" w:cs="Arial" w:eastAsia="Arial" w:hAnsi="Arial"/>
          <w:sz w:val="21"/>
          <w:szCs w:val="21"/>
          <w:color w:val="3B3B3B"/>
        </w:rPr>
        <w:t>Commercial General Liability Insurance with a minimum combined single limit of liability of [***]. This policy shall include [***] coverage and [***]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16</w:t>
      </w:r>
    </w:p>
    <w:p>
      <w:pPr>
        <w:sectPr>
          <w:pgSz w:w="11900" w:h="16838" w:orient="portrait"/>
          <w:cols w:equalWidth="0" w:num="1">
            <w:col w:w="11040"/>
          </w:cols>
          <w:pgMar w:left="420" w:top="1395" w:right="439" w:bottom="1440" w:gutter="0" w:footer="0" w:header="0"/>
        </w:sectPr>
      </w:pPr>
    </w:p>
    <w:bookmarkStart w:id="49" w:name="page50"/>
    <w:bookmarkEnd w:id="49"/>
    <w:p>
      <w:pPr>
        <w:ind w:left="1820" w:hanging="435"/>
        <w:spacing w:after="0"/>
        <w:tabs>
          <w:tab w:leader="none" w:pos="1820" w:val="left"/>
        </w:tabs>
        <w:numPr>
          <w:ilvl w:val="0"/>
          <w:numId w:val="31"/>
        </w:numPr>
        <w:rPr>
          <w:rFonts w:ascii="Arial" w:cs="Arial" w:eastAsia="Arial" w:hAnsi="Arial"/>
          <w:sz w:val="19"/>
          <w:szCs w:val="19"/>
          <w:color w:val="3B3B3B"/>
        </w:rPr>
      </w:pPr>
      <w:r>
        <w:rPr>
          <w:rFonts w:ascii="Arial" w:cs="Arial" w:eastAsia="Arial" w:hAnsi="Arial"/>
          <w:sz w:val="19"/>
          <w:szCs w:val="19"/>
          <w:color w:val="3B3B3B"/>
        </w:rPr>
        <w:t xml:space="preserve">Excess coverage with respect to </w:t>
      </w:r>
      <w:r>
        <w:rPr>
          <w:rFonts w:ascii="Arial" w:cs="Arial" w:eastAsia="Arial" w:hAnsi="Arial"/>
          <w:sz w:val="19"/>
          <w:szCs w:val="19"/>
          <w:u w:val="single" w:color="auto"/>
          <w:color w:val="3B3B3B"/>
        </w:rPr>
        <w:t>Sections 11.1(a)</w:t>
      </w:r>
      <w:r>
        <w:rPr>
          <w:rFonts w:ascii="Arial" w:cs="Arial" w:eastAsia="Arial" w:hAnsi="Arial"/>
          <w:sz w:val="19"/>
          <w:szCs w:val="19"/>
          <w:color w:val="3B3B3B"/>
        </w:rPr>
        <w:t xml:space="preserve"> and </w:t>
      </w:r>
      <w:r>
        <w:rPr>
          <w:rFonts w:ascii="Arial" w:cs="Arial" w:eastAsia="Arial" w:hAnsi="Arial"/>
          <w:sz w:val="19"/>
          <w:szCs w:val="19"/>
          <w:u w:val="single" w:color="auto"/>
          <w:color w:val="3B3B3B"/>
        </w:rPr>
        <w:t>11.1(b)</w:t>
      </w:r>
      <w:r>
        <w:rPr>
          <w:rFonts w:ascii="Arial" w:cs="Arial" w:eastAsia="Arial" w:hAnsi="Arial"/>
          <w:sz w:val="19"/>
          <w:szCs w:val="19"/>
          <w:color w:val="3B3B3B"/>
        </w:rPr>
        <w:t xml:space="preserve"> above with a minimum combined single limit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3B3B3B"/>
        </w:rPr>
        <w:t>of[***].</w:t>
      </w:r>
    </w:p>
    <w:p>
      <w:pPr>
        <w:spacing w:after="0" w:line="186" w:lineRule="exact"/>
        <w:rPr>
          <w:sz w:val="20"/>
          <w:szCs w:val="20"/>
          <w:color w:val="auto"/>
        </w:rPr>
      </w:pPr>
    </w:p>
    <w:p>
      <w:pPr>
        <w:ind w:left="1840" w:hanging="454"/>
        <w:spacing w:after="0"/>
        <w:tabs>
          <w:tab w:leader="none" w:pos="1840" w:val="left"/>
        </w:tabs>
        <w:numPr>
          <w:ilvl w:val="0"/>
          <w:numId w:val="32"/>
        </w:numPr>
        <w:rPr>
          <w:rFonts w:ascii="Arial" w:cs="Arial" w:eastAsia="Arial" w:hAnsi="Arial"/>
          <w:sz w:val="21"/>
          <w:szCs w:val="21"/>
          <w:color w:val="3B3B3B"/>
        </w:rPr>
      </w:pPr>
      <w:r>
        <w:rPr>
          <w:rFonts w:ascii="Arial" w:cs="Arial" w:eastAsia="Arial" w:hAnsi="Arial"/>
          <w:sz w:val="21"/>
          <w:szCs w:val="21"/>
          <w:color w:val="3B3B3B"/>
        </w:rPr>
        <w:t>Errors and Omissions coverage with a minimum limit of [***]</w:t>
      </w:r>
      <w:r>
        <w:rPr>
          <w:rFonts w:ascii="Arial" w:cs="Arial" w:eastAsia="Arial" w:hAnsi="Arial"/>
          <w:sz w:val="19"/>
          <w:szCs w:val="19"/>
          <w:color w:val="3B3B3B"/>
        </w:rPr>
        <w:t>.</w:t>
      </w:r>
    </w:p>
    <w:p>
      <w:pPr>
        <w:spacing w:after="0" w:line="298" w:lineRule="exact"/>
        <w:rPr>
          <w:rFonts w:ascii="Arial" w:cs="Arial" w:eastAsia="Arial" w:hAnsi="Arial"/>
          <w:sz w:val="21"/>
          <w:szCs w:val="21"/>
          <w:color w:val="3B3B3B"/>
        </w:rPr>
      </w:pPr>
    </w:p>
    <w:p>
      <w:pPr>
        <w:ind w:left="1820" w:hanging="435"/>
        <w:spacing w:after="0"/>
        <w:tabs>
          <w:tab w:leader="none" w:pos="1820" w:val="left"/>
        </w:tabs>
        <w:numPr>
          <w:ilvl w:val="0"/>
          <w:numId w:val="32"/>
        </w:numPr>
        <w:rPr>
          <w:rFonts w:ascii="Arial" w:cs="Arial" w:eastAsia="Arial" w:hAnsi="Arial"/>
          <w:sz w:val="21"/>
          <w:szCs w:val="21"/>
          <w:color w:val="3B3B3B"/>
        </w:rPr>
      </w:pPr>
      <w:r>
        <w:rPr>
          <w:rFonts w:ascii="Arial" w:cs="Arial" w:eastAsia="Arial" w:hAnsi="Arial"/>
          <w:sz w:val="21"/>
          <w:szCs w:val="21"/>
          <w:color w:val="3B3B3B"/>
        </w:rPr>
        <w:t>Cyber Liability Insurance with a minimum combined single limit of [***].</w:t>
      </w:r>
    </w:p>
    <w:p>
      <w:pPr>
        <w:spacing w:after="0" w:line="200" w:lineRule="exact"/>
        <w:rPr>
          <w:rFonts w:ascii="Arial" w:cs="Arial" w:eastAsia="Arial" w:hAnsi="Arial"/>
          <w:sz w:val="21"/>
          <w:szCs w:val="21"/>
          <w:color w:val="3B3B3B"/>
        </w:rPr>
      </w:pPr>
    </w:p>
    <w:p>
      <w:pPr>
        <w:spacing w:after="0" w:line="206" w:lineRule="exact"/>
        <w:rPr>
          <w:rFonts w:ascii="Arial" w:cs="Arial" w:eastAsia="Arial" w:hAnsi="Arial"/>
          <w:sz w:val="21"/>
          <w:szCs w:val="21"/>
          <w:color w:val="3B3B3B"/>
        </w:rPr>
      </w:pPr>
    </w:p>
    <w:p>
      <w:pPr>
        <w:ind w:right="20" w:firstLine="1385"/>
        <w:spacing w:after="0" w:line="272" w:lineRule="auto"/>
        <w:tabs>
          <w:tab w:leader="none" w:pos="1816" w:val="left"/>
        </w:tabs>
        <w:numPr>
          <w:ilvl w:val="0"/>
          <w:numId w:val="32"/>
        </w:numPr>
        <w:rPr>
          <w:rFonts w:ascii="Arial" w:cs="Arial" w:eastAsia="Arial" w:hAnsi="Arial"/>
          <w:sz w:val="19"/>
          <w:szCs w:val="19"/>
          <w:color w:val="3B3B3B"/>
        </w:rPr>
      </w:pPr>
      <w:r>
        <w:rPr>
          <w:rFonts w:ascii="Arial" w:cs="Arial" w:eastAsia="Arial" w:hAnsi="Arial"/>
          <w:sz w:val="19"/>
          <w:szCs w:val="19"/>
          <w:color w:val="3B3B3B"/>
        </w:rPr>
        <w:t>Each Party shall be responsible for loss of the others property and customer property, directly or indirectly, and shall maintain fidelity bond or crime coverage for the dishonest acts of its employees in a minimum amount of [***].</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3B3B3B"/>
        </w:rPr>
        <w:t>ARTICLE 12</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u w:val="single" w:color="auto"/>
          <w:color w:val="3B3B3B"/>
        </w:rPr>
        <w:t>REPRESENTATIONS, WARRANTIES AND COVENANTS</w:t>
      </w:r>
    </w:p>
    <w:p>
      <w:pPr>
        <w:spacing w:after="0" w:line="218" w:lineRule="exact"/>
        <w:rPr>
          <w:sz w:val="20"/>
          <w:szCs w:val="20"/>
          <w:color w:val="auto"/>
        </w:rPr>
      </w:pPr>
    </w:p>
    <w:p>
      <w:pPr>
        <w:ind w:left="100" w:right="200" w:firstLine="647"/>
        <w:spacing w:after="0" w:line="256" w:lineRule="auto"/>
        <w:rPr>
          <w:sz w:val="20"/>
          <w:szCs w:val="20"/>
          <w:color w:val="auto"/>
        </w:rPr>
      </w:pPr>
      <w:r>
        <w:rPr>
          <w:rFonts w:ascii="Arial" w:cs="Arial" w:eastAsia="Arial" w:hAnsi="Arial"/>
          <w:sz w:val="21"/>
          <w:szCs w:val="21"/>
          <w:b w:val="1"/>
          <w:bCs w:val="1"/>
          <w:color w:val="3B3B3B"/>
        </w:rPr>
        <w:t xml:space="preserve">Section 12.l </w:t>
      </w:r>
      <w:r>
        <w:rPr>
          <w:rFonts w:ascii="Arial" w:cs="Arial" w:eastAsia="Arial" w:hAnsi="Arial"/>
          <w:sz w:val="21"/>
          <w:szCs w:val="21"/>
          <w:b w:val="1"/>
          <w:bCs w:val="1"/>
          <w:u w:val="single" w:color="auto"/>
          <w:color w:val="3B3B3B"/>
        </w:rPr>
        <w:t>Mutual Representations and Warranties</w:t>
      </w:r>
      <w:r>
        <w:rPr>
          <w:rFonts w:ascii="Arial" w:cs="Arial" w:eastAsia="Arial" w:hAnsi="Arial"/>
          <w:sz w:val="21"/>
          <w:szCs w:val="21"/>
          <w:color w:val="3B3B3B"/>
        </w:rPr>
        <w:t>. Each Party represents and warrants to the other Party the</w:t>
      </w:r>
      <w:r>
        <w:rPr>
          <w:rFonts w:ascii="Arial" w:cs="Arial" w:eastAsia="Arial" w:hAnsi="Arial"/>
          <w:sz w:val="21"/>
          <w:szCs w:val="21"/>
          <w:b w:val="1"/>
          <w:bCs w:val="1"/>
          <w:color w:val="3B3B3B"/>
        </w:rPr>
        <w:t xml:space="preserve"> </w:t>
      </w:r>
      <w:r>
        <w:rPr>
          <w:rFonts w:ascii="Arial" w:cs="Arial" w:eastAsia="Arial" w:hAnsi="Arial"/>
          <w:sz w:val="21"/>
          <w:szCs w:val="21"/>
          <w:color w:val="3B3B3B"/>
        </w:rPr>
        <w:t>following:</w:t>
      </w:r>
    </w:p>
    <w:p>
      <w:pPr>
        <w:spacing w:after="0" w:line="179" w:lineRule="exact"/>
        <w:rPr>
          <w:sz w:val="20"/>
          <w:szCs w:val="20"/>
          <w:color w:val="auto"/>
        </w:rPr>
      </w:pPr>
    </w:p>
    <w:p>
      <w:pPr>
        <w:jc w:val="both"/>
        <w:ind w:left="100" w:firstLine="1293"/>
        <w:spacing w:after="0" w:line="216" w:lineRule="auto"/>
        <w:tabs>
          <w:tab w:leader="none" w:pos="1949" w:val="left"/>
        </w:tabs>
        <w:numPr>
          <w:ilvl w:val="0"/>
          <w:numId w:val="33"/>
        </w:numPr>
        <w:rPr>
          <w:rFonts w:ascii="Arial" w:cs="Arial" w:eastAsia="Arial" w:hAnsi="Arial"/>
          <w:sz w:val="21"/>
          <w:szCs w:val="21"/>
          <w:color w:val="3B3B3B"/>
        </w:rPr>
      </w:pPr>
      <w:r>
        <w:rPr>
          <w:rFonts w:ascii="Arial" w:cs="Arial" w:eastAsia="Arial" w:hAnsi="Arial"/>
          <w:sz w:val="21"/>
          <w:szCs w:val="21"/>
          <w:color w:val="3B3B3B"/>
        </w:rPr>
        <w:t>such Party's execution, delivery and performance of this Agreement: (i) has been authorized by all necessary corporate action, (ii) does not violate the terms of any law, regulation, or court order to which such Party is subject or the terms of any agreement to which such Party or any of its assets may be subject and (iii) is not subject to the consent or approval of any third party;</w:t>
      </w:r>
    </w:p>
    <w:p>
      <w:pPr>
        <w:spacing w:after="0" w:line="183" w:lineRule="exact"/>
        <w:rPr>
          <w:rFonts w:ascii="Arial" w:cs="Arial" w:eastAsia="Arial" w:hAnsi="Arial"/>
          <w:sz w:val="21"/>
          <w:szCs w:val="21"/>
          <w:color w:val="3B3B3B"/>
        </w:rPr>
      </w:pPr>
    </w:p>
    <w:p>
      <w:pPr>
        <w:jc w:val="both"/>
        <w:ind w:left="100" w:firstLine="1293"/>
        <w:spacing w:after="0" w:line="221" w:lineRule="auto"/>
        <w:tabs>
          <w:tab w:leader="none" w:pos="1947" w:val="left"/>
        </w:tabs>
        <w:numPr>
          <w:ilvl w:val="0"/>
          <w:numId w:val="33"/>
        </w:numPr>
        <w:rPr>
          <w:rFonts w:ascii="Arial" w:cs="Arial" w:eastAsia="Arial" w:hAnsi="Arial"/>
          <w:sz w:val="21"/>
          <w:szCs w:val="21"/>
          <w:color w:val="3B3B3B"/>
        </w:rPr>
      </w:pPr>
      <w:r>
        <w:rPr>
          <w:rFonts w:ascii="Arial" w:cs="Arial" w:eastAsia="Arial" w:hAnsi="Arial"/>
          <w:sz w:val="21"/>
          <w:szCs w:val="21"/>
          <w:color w:val="3B3B3B"/>
        </w:rPr>
        <w:t>this Agreement is the valid and binding obligation of such Party, enforceable by the other Party against such Party in accordance with its terms, subject to bankruptcy, insolvency, reorganization, moratorium and similar laws of general application relating to or affecting creditors' rights and to general principles of equity;</w:t>
      </w:r>
    </w:p>
    <w:p>
      <w:pPr>
        <w:spacing w:after="0" w:line="183" w:lineRule="exact"/>
        <w:rPr>
          <w:rFonts w:ascii="Arial" w:cs="Arial" w:eastAsia="Arial" w:hAnsi="Arial"/>
          <w:sz w:val="21"/>
          <w:szCs w:val="21"/>
          <w:color w:val="3B3B3B"/>
        </w:rPr>
      </w:pPr>
    </w:p>
    <w:p>
      <w:pPr>
        <w:ind w:left="100" w:firstLine="1293"/>
        <w:spacing w:after="0" w:line="232" w:lineRule="auto"/>
        <w:tabs>
          <w:tab w:leader="none" w:pos="1949" w:val="left"/>
        </w:tabs>
        <w:numPr>
          <w:ilvl w:val="0"/>
          <w:numId w:val="33"/>
        </w:numPr>
        <w:rPr>
          <w:rFonts w:ascii="Arial" w:cs="Arial" w:eastAsia="Arial" w:hAnsi="Arial"/>
          <w:sz w:val="21"/>
          <w:szCs w:val="21"/>
          <w:color w:val="3B3B3B"/>
        </w:rPr>
      </w:pPr>
      <w:r>
        <w:rPr>
          <w:rFonts w:ascii="Arial" w:cs="Arial" w:eastAsia="Arial" w:hAnsi="Arial"/>
          <w:sz w:val="21"/>
          <w:szCs w:val="21"/>
          <w:color w:val="3B3B3B"/>
        </w:rPr>
        <w:t>such Party is not subject to any pending or threatened litigation or governmental action which could interfere with such Party's performance of its obligations hereunder,</w:t>
      </w:r>
    </w:p>
    <w:p>
      <w:pPr>
        <w:spacing w:after="0" w:line="194" w:lineRule="exact"/>
        <w:rPr>
          <w:rFonts w:ascii="Arial" w:cs="Arial" w:eastAsia="Arial" w:hAnsi="Arial"/>
          <w:sz w:val="21"/>
          <w:szCs w:val="21"/>
          <w:color w:val="3B3B3B"/>
        </w:rPr>
      </w:pPr>
    </w:p>
    <w:p>
      <w:pPr>
        <w:ind w:left="100" w:right="20" w:firstLine="1293"/>
        <w:spacing w:after="0" w:line="247" w:lineRule="auto"/>
        <w:tabs>
          <w:tab w:leader="none" w:pos="1947" w:val="left"/>
        </w:tabs>
        <w:numPr>
          <w:ilvl w:val="0"/>
          <w:numId w:val="33"/>
        </w:numPr>
        <w:rPr>
          <w:rFonts w:ascii="Arial" w:cs="Arial" w:eastAsia="Arial" w:hAnsi="Arial"/>
          <w:sz w:val="20"/>
          <w:szCs w:val="20"/>
          <w:color w:val="3B3B3B"/>
        </w:rPr>
      </w:pPr>
      <w:r>
        <w:rPr>
          <w:rFonts w:ascii="Arial" w:cs="Arial" w:eastAsia="Arial" w:hAnsi="Arial"/>
          <w:sz w:val="20"/>
          <w:szCs w:val="20"/>
          <w:color w:val="3B3B3B"/>
        </w:rPr>
        <w:t>such Party is in good standing in the state of its organization and is qualified to do business as a foreign corporation in each of the other states in which the nature of its business or assets requires such Party to be so qualified;</w:t>
      </w:r>
    </w:p>
    <w:p>
      <w:pPr>
        <w:spacing w:after="0" w:line="174" w:lineRule="exact"/>
        <w:rPr>
          <w:rFonts w:ascii="Arial" w:cs="Arial" w:eastAsia="Arial" w:hAnsi="Arial"/>
          <w:sz w:val="20"/>
          <w:szCs w:val="20"/>
          <w:color w:val="3B3B3B"/>
        </w:rPr>
      </w:pPr>
    </w:p>
    <w:p>
      <w:pPr>
        <w:jc w:val="both"/>
        <w:ind w:left="100" w:right="20" w:firstLine="1293"/>
        <w:spacing w:after="0" w:line="221" w:lineRule="auto"/>
        <w:tabs>
          <w:tab w:leader="none" w:pos="1949" w:val="left"/>
        </w:tabs>
        <w:numPr>
          <w:ilvl w:val="0"/>
          <w:numId w:val="33"/>
        </w:numPr>
        <w:rPr>
          <w:rFonts w:ascii="Arial" w:cs="Arial" w:eastAsia="Arial" w:hAnsi="Arial"/>
          <w:sz w:val="21"/>
          <w:szCs w:val="21"/>
          <w:color w:val="3B3B3B"/>
        </w:rPr>
      </w:pPr>
      <w:r>
        <w:rPr>
          <w:rFonts w:ascii="Arial" w:cs="Arial" w:eastAsia="Arial" w:hAnsi="Arial"/>
          <w:sz w:val="21"/>
          <w:szCs w:val="21"/>
          <w:color w:val="3B3B3B"/>
        </w:rPr>
        <w:t>such Party shall secure or has secured all permits, licenses, regulatory approvals and registrations required to perform its covenants, duties and obligations contemplated herein, including without limitation, registration with the appropriate taxing authorities for remittance of taxes;</w:t>
      </w:r>
    </w:p>
    <w:p>
      <w:pPr>
        <w:spacing w:after="0" w:line="183" w:lineRule="exact"/>
        <w:rPr>
          <w:rFonts w:ascii="Arial" w:cs="Arial" w:eastAsia="Arial" w:hAnsi="Arial"/>
          <w:sz w:val="21"/>
          <w:szCs w:val="21"/>
          <w:color w:val="3B3B3B"/>
        </w:rPr>
      </w:pPr>
    </w:p>
    <w:p>
      <w:pPr>
        <w:jc w:val="both"/>
        <w:ind w:left="100" w:firstLine="1293"/>
        <w:spacing w:after="0" w:line="216" w:lineRule="auto"/>
        <w:tabs>
          <w:tab w:leader="none" w:pos="1953" w:val="left"/>
        </w:tabs>
        <w:numPr>
          <w:ilvl w:val="0"/>
          <w:numId w:val="33"/>
        </w:numPr>
        <w:rPr>
          <w:rFonts w:ascii="Arial" w:cs="Arial" w:eastAsia="Arial" w:hAnsi="Arial"/>
          <w:sz w:val="21"/>
          <w:szCs w:val="21"/>
          <w:color w:val="3B3B3B"/>
        </w:rPr>
      </w:pPr>
      <w:r>
        <w:rPr>
          <w:rFonts w:ascii="Arial" w:cs="Arial" w:eastAsia="Arial" w:hAnsi="Arial"/>
          <w:sz w:val="21"/>
          <w:szCs w:val="21"/>
          <w:color w:val="3B3B3B"/>
        </w:rPr>
        <w:t>such Party shall use all reasonable care in handling the other Party's data that is in such Party's possession. Without limitation of the foregoing, such Party shall maintain, in accordance with prudent standards of insurance record-keeping and in a format readable by the other Party, weekly and monthly off-site backup copies of the other Party's computer data that is in such Party's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Page | 17</w:t>
      </w:r>
    </w:p>
    <w:p>
      <w:pPr>
        <w:sectPr>
          <w:pgSz w:w="11900" w:h="16838" w:orient="portrait"/>
          <w:cols w:equalWidth="0" w:num="1">
            <w:col w:w="11140"/>
          </w:cols>
          <w:pgMar w:left="320" w:top="1395" w:right="439" w:bottom="1440" w:gutter="0" w:footer="0" w:header="0"/>
        </w:sectPr>
      </w:pPr>
    </w:p>
    <w:bookmarkStart w:id="50" w:name="page51"/>
    <w:bookmarkEnd w:id="50"/>
    <w:p>
      <w:pPr>
        <w:spacing w:after="0" w:line="199" w:lineRule="exact"/>
        <w:rPr>
          <w:sz w:val="20"/>
          <w:szCs w:val="20"/>
          <w:color w:val="auto"/>
        </w:rPr>
      </w:pPr>
    </w:p>
    <w:p>
      <w:pPr>
        <w:jc w:val="both"/>
        <w:ind w:firstLine="1293"/>
        <w:spacing w:after="0" w:line="213" w:lineRule="auto"/>
        <w:tabs>
          <w:tab w:leader="none" w:pos="1847" w:val="left"/>
        </w:tabs>
        <w:numPr>
          <w:ilvl w:val="0"/>
          <w:numId w:val="34"/>
        </w:numPr>
        <w:rPr>
          <w:rFonts w:ascii="Arial" w:cs="Arial" w:eastAsia="Arial" w:hAnsi="Arial"/>
          <w:sz w:val="21"/>
          <w:szCs w:val="21"/>
          <w:color w:val="3B3B3B"/>
        </w:rPr>
      </w:pPr>
      <w:r>
        <w:rPr>
          <w:rFonts w:ascii="Arial" w:cs="Arial" w:eastAsia="Arial" w:hAnsi="Arial"/>
          <w:sz w:val="21"/>
          <w:szCs w:val="21"/>
          <w:color w:val="3B3B3B"/>
        </w:rPr>
        <w:t>except as otherwise specifically provided in this Agreement, such Party shall be solely responsible, without any right of reimbursement from the other Party, for any and all expenses that it incurs including but not limited to rentals, transportation facilities, remuneration of clerks or other employees, commissions to dealers, postage, administration fees, state or local license and appointment fees, and all other expenses of whatever nature. The conduct by such Party of its business shall be at its own sole cost, credit, risk, and expense.</w:t>
      </w:r>
    </w:p>
    <w:p>
      <w:pPr>
        <w:spacing w:after="0" w:line="183" w:lineRule="exact"/>
        <w:rPr>
          <w:rFonts w:ascii="Arial" w:cs="Arial" w:eastAsia="Arial" w:hAnsi="Arial"/>
          <w:sz w:val="21"/>
          <w:szCs w:val="21"/>
          <w:color w:val="3B3B3B"/>
        </w:rPr>
      </w:pPr>
    </w:p>
    <w:p>
      <w:pPr>
        <w:jc w:val="both"/>
        <w:ind w:firstLine="1293"/>
        <w:spacing w:after="0" w:line="221" w:lineRule="auto"/>
        <w:tabs>
          <w:tab w:leader="none" w:pos="1847" w:val="left"/>
        </w:tabs>
        <w:numPr>
          <w:ilvl w:val="0"/>
          <w:numId w:val="34"/>
        </w:numPr>
        <w:rPr>
          <w:rFonts w:ascii="Arial" w:cs="Arial" w:eastAsia="Arial" w:hAnsi="Arial"/>
          <w:sz w:val="21"/>
          <w:szCs w:val="21"/>
          <w:color w:val="3B3B3B"/>
        </w:rPr>
      </w:pPr>
      <w:r>
        <w:rPr>
          <w:rFonts w:ascii="Arial" w:cs="Arial" w:eastAsia="Arial" w:hAnsi="Arial"/>
          <w:sz w:val="21"/>
          <w:szCs w:val="21"/>
          <w:color w:val="3B3B3B"/>
        </w:rPr>
        <w:t>There is no action, claim, suit or proceeding pending or, to the knowledge of the Parties, threatened, against such Party or any of its Affiliates that could adversely affect (i) such Party's ability to perform its covenants, duties or obligations under this Agreement or (ii) its duties and obligations under any Policy; and</w:t>
      </w:r>
    </w:p>
    <w:p>
      <w:pPr>
        <w:spacing w:after="0" w:line="196" w:lineRule="exact"/>
        <w:rPr>
          <w:rFonts w:ascii="Arial" w:cs="Arial" w:eastAsia="Arial" w:hAnsi="Arial"/>
          <w:sz w:val="21"/>
          <w:szCs w:val="21"/>
          <w:color w:val="3B3B3B"/>
        </w:rPr>
      </w:pPr>
    </w:p>
    <w:p>
      <w:pPr>
        <w:jc w:val="both"/>
        <w:ind w:firstLine="1293"/>
        <w:spacing w:after="0" w:line="239" w:lineRule="auto"/>
        <w:tabs>
          <w:tab w:leader="none" w:pos="1841" w:val="left"/>
        </w:tabs>
        <w:numPr>
          <w:ilvl w:val="0"/>
          <w:numId w:val="34"/>
        </w:numPr>
        <w:rPr>
          <w:rFonts w:ascii="Arial" w:cs="Arial" w:eastAsia="Arial" w:hAnsi="Arial"/>
          <w:sz w:val="19"/>
          <w:szCs w:val="19"/>
          <w:color w:val="3B3B3B"/>
        </w:rPr>
      </w:pPr>
      <w:r>
        <w:rPr>
          <w:rFonts w:ascii="Arial" w:cs="Arial" w:eastAsia="Arial" w:hAnsi="Arial"/>
          <w:sz w:val="19"/>
          <w:szCs w:val="19"/>
          <w:color w:val="3B3B3B"/>
        </w:rPr>
        <w:t>The Parties have, to the best of such Party's knowledge, the capability and the capacity to perform the services under this Agreement and each Policy. Each of the Parties shall use best efforts to perform such services in accordance with this Agreement and each Policy, and in compliance with all Applicable Laws. Each of the Parties shall secure and maintain, for the duration of this Agreement, all licenses required to be maintained by it under all Applicable Laws.</w:t>
      </w:r>
    </w:p>
    <w:p>
      <w:pPr>
        <w:spacing w:after="0" w:line="177" w:lineRule="exact"/>
        <w:rPr>
          <w:sz w:val="20"/>
          <w:szCs w:val="20"/>
          <w:color w:val="auto"/>
        </w:rPr>
      </w:pPr>
    </w:p>
    <w:p>
      <w:pPr>
        <w:jc w:val="both"/>
        <w:ind w:firstLine="647"/>
        <w:spacing w:after="0" w:line="250" w:lineRule="auto"/>
        <w:rPr>
          <w:sz w:val="20"/>
          <w:szCs w:val="20"/>
          <w:color w:val="auto"/>
        </w:rPr>
      </w:pPr>
      <w:r>
        <w:rPr>
          <w:rFonts w:ascii="Arial" w:cs="Arial" w:eastAsia="Arial" w:hAnsi="Arial"/>
          <w:sz w:val="19"/>
          <w:szCs w:val="19"/>
          <w:b w:val="1"/>
          <w:bCs w:val="1"/>
          <w:color w:val="3B3B3B"/>
        </w:rPr>
        <w:t xml:space="preserve">Section 12.2 </w:t>
      </w:r>
      <w:r>
        <w:rPr>
          <w:rFonts w:ascii="Arial" w:cs="Arial" w:eastAsia="Arial" w:hAnsi="Arial"/>
          <w:sz w:val="19"/>
          <w:szCs w:val="19"/>
          <w:b w:val="1"/>
          <w:bCs w:val="1"/>
          <w:u w:val="single" w:color="auto"/>
          <w:color w:val="3B3B3B"/>
        </w:rPr>
        <w:t>Representation and Warranty Regarding the Software Platform</w:t>
      </w:r>
      <w:r>
        <w:rPr>
          <w:rFonts w:ascii="Arial" w:cs="Arial" w:eastAsia="Arial" w:hAnsi="Arial"/>
          <w:sz w:val="19"/>
          <w:szCs w:val="19"/>
          <w:color w:val="3B3B3B"/>
        </w:rPr>
        <w:t>. Lenders Protection represents and</w:t>
      </w:r>
      <w:r>
        <w:rPr>
          <w:rFonts w:ascii="Arial" w:cs="Arial" w:eastAsia="Arial" w:hAnsi="Arial"/>
          <w:sz w:val="19"/>
          <w:szCs w:val="19"/>
          <w:b w:val="1"/>
          <w:bCs w:val="1"/>
          <w:color w:val="3B3B3B"/>
        </w:rPr>
        <w:t xml:space="preserve"> </w:t>
      </w:r>
      <w:r>
        <w:rPr>
          <w:rFonts w:ascii="Arial" w:cs="Arial" w:eastAsia="Arial" w:hAnsi="Arial"/>
          <w:sz w:val="19"/>
          <w:szCs w:val="19"/>
          <w:color w:val="3B3B3B"/>
        </w:rPr>
        <w:t>warrants to Arch that, as of the Effective Date hereof, to the actual knowledge of Lenders Protection (without conducting further inquiry or due diligence), the Software Platform does not infringe upon or violate any intellectual property right of a third party.</w:t>
      </w:r>
    </w:p>
    <w:p>
      <w:pPr>
        <w:spacing w:after="0" w:line="168"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8"/>
          <w:szCs w:val="18"/>
          <w:b w:val="1"/>
          <w:bCs w:val="1"/>
          <w:color w:val="3B3B3B"/>
        </w:rPr>
        <w:t xml:space="preserve">Section 12.3 </w:t>
      </w:r>
      <w:r>
        <w:rPr>
          <w:rFonts w:ascii="Arial" w:cs="Arial" w:eastAsia="Arial" w:hAnsi="Arial"/>
          <w:sz w:val="18"/>
          <w:szCs w:val="18"/>
          <w:b w:val="1"/>
          <w:bCs w:val="1"/>
          <w:u w:val="single" w:color="auto"/>
          <w:color w:val="3B3B3B"/>
        </w:rPr>
        <w:t>Covenant of the Parties</w:t>
      </w:r>
      <w:r>
        <w:rPr>
          <w:rFonts w:ascii="Arial" w:cs="Arial" w:eastAsia="Arial" w:hAnsi="Arial"/>
          <w:sz w:val="18"/>
          <w:szCs w:val="18"/>
          <w:color w:val="3B3B3B"/>
        </w:rPr>
        <w:t>. The Parties shall deliver as soon as reasonably practicable written notice to the other</w:t>
      </w:r>
      <w:r>
        <w:rPr>
          <w:rFonts w:ascii="Arial" w:cs="Arial" w:eastAsia="Arial" w:hAnsi="Arial"/>
          <w:sz w:val="18"/>
          <w:szCs w:val="18"/>
          <w:b w:val="1"/>
          <w:bCs w:val="1"/>
          <w:color w:val="3B3B3B"/>
        </w:rPr>
        <w:t xml:space="preserve"> </w:t>
      </w:r>
      <w:r>
        <w:rPr>
          <w:rFonts w:ascii="Arial" w:cs="Arial" w:eastAsia="Arial" w:hAnsi="Arial"/>
          <w:sz w:val="18"/>
          <w:szCs w:val="18"/>
          <w:color w:val="3B3B3B"/>
        </w:rPr>
        <w:t>Party upon the occurrence of any action, claim, suit or proceeding threatened against such Party or its Affiliates or Subcontractors that could adversely affect such Party's ability to perform its covenants, duties or obligations under this Agreement or any Policy.</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3B3B3B"/>
        </w:rPr>
        <w:t>ARTICLE 13</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B3B3B"/>
        </w:rPr>
        <w:t>DISPUTE RESOLUTION</w:t>
      </w:r>
    </w:p>
    <w:p>
      <w:pPr>
        <w:spacing w:after="0" w:line="204" w:lineRule="exact"/>
        <w:rPr>
          <w:sz w:val="20"/>
          <w:szCs w:val="20"/>
          <w:color w:val="auto"/>
        </w:rPr>
      </w:pPr>
    </w:p>
    <w:p>
      <w:pPr>
        <w:jc w:val="both"/>
        <w:ind w:firstLine="647"/>
        <w:spacing w:after="0" w:line="237" w:lineRule="auto"/>
        <w:rPr>
          <w:sz w:val="20"/>
          <w:szCs w:val="20"/>
          <w:color w:val="auto"/>
        </w:rPr>
      </w:pPr>
      <w:r>
        <w:rPr>
          <w:rFonts w:ascii="Arial" w:cs="Arial" w:eastAsia="Arial" w:hAnsi="Arial"/>
          <w:sz w:val="19"/>
          <w:szCs w:val="19"/>
          <w:b w:val="1"/>
          <w:bCs w:val="1"/>
          <w:color w:val="3B3B3B"/>
        </w:rPr>
        <w:t xml:space="preserve">Section 13.1 </w:t>
      </w:r>
      <w:r>
        <w:rPr>
          <w:rFonts w:ascii="Arial" w:cs="Arial" w:eastAsia="Arial" w:hAnsi="Arial"/>
          <w:sz w:val="19"/>
          <w:szCs w:val="19"/>
          <w:color w:val="3B3B3B"/>
        </w:rPr>
        <w:t>The Parties agree to attempt to settle any dispute arising out of this Agreement through consultation and</w:t>
      </w:r>
      <w:r>
        <w:rPr>
          <w:rFonts w:ascii="Arial" w:cs="Arial" w:eastAsia="Arial" w:hAnsi="Arial"/>
          <w:sz w:val="19"/>
          <w:szCs w:val="19"/>
          <w:b w:val="1"/>
          <w:bCs w:val="1"/>
          <w:color w:val="3B3B3B"/>
        </w:rPr>
        <w:t xml:space="preserve"> </w:t>
      </w:r>
      <w:r>
        <w:rPr>
          <w:rFonts w:ascii="Arial" w:cs="Arial" w:eastAsia="Arial" w:hAnsi="Arial"/>
          <w:sz w:val="19"/>
          <w:szCs w:val="19"/>
          <w:color w:val="3B3B3B"/>
        </w:rPr>
        <w:t>negotiation, in good faith and in the spirit of mutual cooperation. In the event of a dispute, the Parties agree to meet to try to resolve the dispute within [***] of one Party delivering written notice to the other Party containing a request for a meeting. If, within a reasonable time after such meeting (not to exceed [***]), the Parties have not succeeded in negotiating a resolution of the dispute, then either Party may commence mediation as provided herein by delivering a written demand for mediation to the other Party.</w:t>
      </w:r>
    </w:p>
    <w:p>
      <w:pPr>
        <w:spacing w:after="0" w:line="177" w:lineRule="exact"/>
        <w:rPr>
          <w:sz w:val="20"/>
          <w:szCs w:val="20"/>
          <w:color w:val="auto"/>
        </w:rPr>
      </w:pPr>
    </w:p>
    <w:p>
      <w:pPr>
        <w:jc w:val="both"/>
        <w:ind w:firstLine="647"/>
        <w:spacing w:after="0" w:line="210" w:lineRule="auto"/>
        <w:rPr>
          <w:sz w:val="20"/>
          <w:szCs w:val="20"/>
          <w:color w:val="auto"/>
        </w:rPr>
      </w:pPr>
      <w:r>
        <w:rPr>
          <w:rFonts w:ascii="Arial" w:cs="Arial" w:eastAsia="Arial" w:hAnsi="Arial"/>
          <w:sz w:val="21"/>
          <w:szCs w:val="21"/>
          <w:b w:val="1"/>
          <w:bCs w:val="1"/>
          <w:color w:val="3B3B3B"/>
        </w:rPr>
        <w:t xml:space="preserve">Section 13.2 </w:t>
      </w:r>
      <w:r>
        <w:rPr>
          <w:rFonts w:ascii="Arial" w:cs="Arial" w:eastAsia="Arial" w:hAnsi="Arial"/>
          <w:sz w:val="21"/>
          <w:szCs w:val="21"/>
          <w:color w:val="3B3B3B"/>
        </w:rPr>
        <w:t>Except as provided herein, no civil action with respect to any dispute, claim or controversy arising out of or</w:t>
      </w:r>
      <w:r>
        <w:rPr>
          <w:rFonts w:ascii="Arial" w:cs="Arial" w:eastAsia="Arial" w:hAnsi="Arial"/>
          <w:sz w:val="21"/>
          <w:szCs w:val="21"/>
          <w:b w:val="1"/>
          <w:bCs w:val="1"/>
          <w:color w:val="3B3B3B"/>
        </w:rPr>
        <w:t xml:space="preserve"> </w:t>
      </w:r>
      <w:r>
        <w:rPr>
          <w:rFonts w:ascii="Arial" w:cs="Arial" w:eastAsia="Arial" w:hAnsi="Arial"/>
          <w:sz w:val="21"/>
          <w:szCs w:val="21"/>
          <w:color w:val="3B3B3B"/>
        </w:rPr>
        <w:t>relating to this Agreement may be commenced until the matter has been submitted to JAMS, or its successor, for mediation in New York, New York. Either Party may commence mediation by providing to JAMS and the other Party a written request for mediation, setting forth the subject of the dispute and the relief requested. The Parties will cooperate with JAMS and with one another in selecting a mediator from JAMS' panel of neutrals, and in scheduling the mediation proceedings. The Parties covenant that they will participate in the mediation in good faith, and that they will share equally in its costs. All offers, promises, conduct and statements, whether oral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 18</w:t>
      </w:r>
    </w:p>
    <w:p>
      <w:pPr>
        <w:sectPr>
          <w:pgSz w:w="11900" w:h="16838" w:orient="portrait"/>
          <w:cols w:equalWidth="0" w:num="1">
            <w:col w:w="11040"/>
          </w:cols>
          <w:pgMar w:left="420" w:top="1440" w:right="439" w:bottom="1440" w:gutter="0" w:footer="0" w:header="0"/>
        </w:sectPr>
      </w:pPr>
    </w:p>
    <w:bookmarkStart w:id="51" w:name="page52"/>
    <w:bookmarkEnd w:id="51"/>
    <w:p>
      <w:pPr>
        <w:jc w:val="both"/>
        <w:spacing w:after="0" w:line="229" w:lineRule="auto"/>
        <w:rPr>
          <w:sz w:val="20"/>
          <w:szCs w:val="20"/>
          <w:color w:val="auto"/>
        </w:rPr>
      </w:pPr>
      <w:r>
        <w:rPr>
          <w:rFonts w:ascii="Arial" w:cs="Arial" w:eastAsia="Arial" w:hAnsi="Arial"/>
          <w:sz w:val="19"/>
          <w:szCs w:val="19"/>
          <w:color w:val="3B3B3B"/>
        </w:rPr>
        <w:t xml:space="preserve">written, made in the course of the mediation by any of the Parties, their agents, employees, experts and attorneys, and by the mediator and any JAMS employees, are confidential, and inadmissible for any purpose, including impeachment, in any litigation or other proceeding involving the Parties; </w:t>
      </w:r>
      <w:r>
        <w:rPr>
          <w:rFonts w:ascii="Arial" w:cs="Arial" w:eastAsia="Arial" w:hAnsi="Arial"/>
          <w:sz w:val="19"/>
          <w:szCs w:val="19"/>
          <w:u w:val="single" w:color="auto"/>
          <w:color w:val="3B3B3B"/>
        </w:rPr>
        <w:t>provided</w:t>
      </w:r>
      <w:r>
        <w:rPr>
          <w:rFonts w:ascii="Arial" w:cs="Arial" w:eastAsia="Arial" w:hAnsi="Arial"/>
          <w:sz w:val="19"/>
          <w:szCs w:val="19"/>
          <w:color w:val="3B3B3B"/>
        </w:rPr>
        <w:t xml:space="preserve">, </w:t>
      </w:r>
      <w:r>
        <w:rPr>
          <w:rFonts w:ascii="Arial" w:cs="Arial" w:eastAsia="Arial" w:hAnsi="Arial"/>
          <w:sz w:val="19"/>
          <w:szCs w:val="19"/>
          <w:u w:val="single" w:color="auto"/>
          <w:color w:val="3B3B3B"/>
        </w:rPr>
        <w:t>that</w:t>
      </w:r>
      <w:r>
        <w:rPr>
          <w:rFonts w:ascii="Arial" w:cs="Arial" w:eastAsia="Arial" w:hAnsi="Arial"/>
          <w:sz w:val="19"/>
          <w:szCs w:val="19"/>
          <w:color w:val="3B3B3B"/>
        </w:rPr>
        <w:t>, evidence that is otherwise admissible or discoverable shall not be rendered inadmissible or non- discoverable as a result of its use in the mediation. Either Party may seek equitable relief prior to the mediation to preserve the status quo pending the completion of that process. Except for such an action to obtain equitable relief, either Party may commence a civil action with respect to the matters submitted to mediation until after the completion of the initial mediation session, or [***] after the date of filing the written request for mediation, whichever occurs first. Mediation may continue after the commencement of a civil action, if the Parties so desire. The provisions of this paragraph may be enforced by any court of competent jurisdiction, and the Party seeking enforcement shall be entitled to an award of all costs, fees and expenses, including attorney's fees, to be paid by the Party against whom enforcement is ordered.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ARTICLE 14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B3B3B"/>
        </w:rPr>
        <w:t>GOVERNING LAW AND JURISDICTION</w:t>
      </w:r>
    </w:p>
    <w:p>
      <w:pPr>
        <w:spacing w:after="0" w:line="285" w:lineRule="exact"/>
        <w:rPr>
          <w:sz w:val="20"/>
          <w:szCs w:val="20"/>
          <w:color w:val="auto"/>
        </w:rPr>
      </w:pPr>
    </w:p>
    <w:p>
      <w:pPr>
        <w:jc w:val="both"/>
        <w:ind w:firstLine="647"/>
        <w:spacing w:after="0" w:line="223" w:lineRule="auto"/>
        <w:rPr>
          <w:sz w:val="20"/>
          <w:szCs w:val="20"/>
          <w:color w:val="auto"/>
        </w:rPr>
      </w:pPr>
      <w:r>
        <w:rPr>
          <w:rFonts w:ascii="Arial" w:cs="Arial" w:eastAsia="Arial" w:hAnsi="Arial"/>
          <w:sz w:val="21"/>
          <w:szCs w:val="21"/>
          <w:b w:val="1"/>
          <w:bCs w:val="1"/>
          <w:color w:val="3B3B3B"/>
        </w:rPr>
        <w:t xml:space="preserve">Section 14.1 </w:t>
      </w:r>
      <w:r>
        <w:rPr>
          <w:rFonts w:ascii="Arial" w:cs="Arial" w:eastAsia="Arial" w:hAnsi="Arial"/>
          <w:sz w:val="21"/>
          <w:szCs w:val="21"/>
          <w:b w:val="1"/>
          <w:bCs w:val="1"/>
          <w:u w:val="single" w:color="auto"/>
          <w:color w:val="3B3B3B"/>
        </w:rPr>
        <w:t>Governing Law</w:t>
      </w:r>
      <w:r>
        <w:rPr>
          <w:rFonts w:ascii="Arial" w:cs="Arial" w:eastAsia="Arial" w:hAnsi="Arial"/>
          <w:sz w:val="21"/>
          <w:szCs w:val="21"/>
          <w:color w:val="3B3B3B"/>
        </w:rPr>
        <w:t>. This Agreement shall be governed by, and construed and enforced in accordance with, the</w:t>
      </w:r>
      <w:r>
        <w:rPr>
          <w:rFonts w:ascii="Arial" w:cs="Arial" w:eastAsia="Arial" w:hAnsi="Arial"/>
          <w:sz w:val="21"/>
          <w:szCs w:val="21"/>
          <w:b w:val="1"/>
          <w:bCs w:val="1"/>
          <w:color w:val="3B3B3B"/>
        </w:rPr>
        <w:t xml:space="preserve"> </w:t>
      </w:r>
      <w:r>
        <w:rPr>
          <w:rFonts w:ascii="Arial" w:cs="Arial" w:eastAsia="Arial" w:hAnsi="Arial"/>
          <w:sz w:val="21"/>
          <w:szCs w:val="21"/>
          <w:color w:val="3B3B3B"/>
        </w:rPr>
        <w:t>laws of the State of Texas (without regard to its conflicts or choice of laws principles that could or would cause the application of any other laws).</w:t>
      </w:r>
    </w:p>
    <w:p>
      <w:pPr>
        <w:spacing w:after="0" w:line="19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b w:val="1"/>
          <w:bCs w:val="1"/>
          <w:color w:val="3B3B3B"/>
        </w:rPr>
        <w:t>Section 14.2</w:t>
      </w:r>
      <w:r>
        <w:rPr>
          <w:sz w:val="20"/>
          <w:szCs w:val="20"/>
          <w:color w:val="auto"/>
        </w:rPr>
        <w:tab/>
      </w:r>
      <w:r>
        <w:rPr>
          <w:rFonts w:ascii="Arial" w:cs="Arial" w:eastAsia="Arial" w:hAnsi="Arial"/>
          <w:sz w:val="18"/>
          <w:szCs w:val="18"/>
          <w:b w:val="1"/>
          <w:bCs w:val="1"/>
          <w:u w:val="single" w:color="auto"/>
          <w:color w:val="3B3B3B"/>
        </w:rPr>
        <w:t>Consent to Jurisdiction and Venue</w:t>
      </w:r>
      <w:r>
        <w:rPr>
          <w:rFonts w:ascii="Arial" w:cs="Arial" w:eastAsia="Arial" w:hAnsi="Arial"/>
          <w:sz w:val="18"/>
          <w:szCs w:val="18"/>
          <w:color w:val="3B3B3B"/>
        </w:rPr>
        <w:t>.</w:t>
      </w:r>
    </w:p>
    <w:p>
      <w:pPr>
        <w:spacing w:after="0" w:line="291" w:lineRule="exact"/>
        <w:rPr>
          <w:sz w:val="20"/>
          <w:szCs w:val="20"/>
          <w:color w:val="auto"/>
        </w:rPr>
      </w:pPr>
    </w:p>
    <w:p>
      <w:pPr>
        <w:jc w:val="both"/>
        <w:ind w:firstLine="1293"/>
        <w:spacing w:after="0" w:line="208" w:lineRule="auto"/>
        <w:tabs>
          <w:tab w:leader="none" w:pos="1849" w:val="left"/>
        </w:tabs>
        <w:numPr>
          <w:ilvl w:val="0"/>
          <w:numId w:val="35"/>
        </w:numPr>
        <w:rPr>
          <w:rFonts w:ascii="Arial" w:cs="Arial" w:eastAsia="Arial" w:hAnsi="Arial"/>
          <w:sz w:val="21"/>
          <w:szCs w:val="21"/>
          <w:color w:val="3B3B3B"/>
        </w:rPr>
      </w:pPr>
      <w:r>
        <w:rPr>
          <w:rFonts w:ascii="Arial" w:cs="Arial" w:eastAsia="Arial" w:hAnsi="Arial"/>
          <w:sz w:val="21"/>
          <w:szCs w:val="21"/>
          <w:color w:val="3B3B3B"/>
        </w:rPr>
        <w:t>Each of the Parties hereto hereby irrevocably consents and submits to the exclusive jurisdiction of the United States District Court for the Northern District of Texas, which the Parties hereto agree shall be the court of adjudication in connection with any suit, action or other proceeding arising out of the terms of this Agreement, and, if such dispute cannot be adjudicated in such court for any reason, including without limitation, a lack of subject matter jurisdiction, then such dispute shall be heard in the any court of appropriate jurisdiction residing in Dallas, Texas (collectively with the United States District Court for the Northern District of Texas, the “</w:t>
      </w:r>
      <w:r>
        <w:rPr>
          <w:rFonts w:ascii="Arial" w:cs="Arial" w:eastAsia="Arial" w:hAnsi="Arial"/>
          <w:sz w:val="21"/>
          <w:szCs w:val="21"/>
          <w:u w:val="single" w:color="auto"/>
          <w:color w:val="3B3B3B"/>
        </w:rPr>
        <w:t>Agreed Courts</w:t>
      </w:r>
      <w:r>
        <w:rPr>
          <w:rFonts w:ascii="Arial" w:cs="Arial" w:eastAsia="Arial" w:hAnsi="Arial"/>
          <w:sz w:val="21"/>
          <w:szCs w:val="21"/>
          <w:color w:val="3B3B3B"/>
        </w:rPr>
        <w:t>”), to which the Parties hereto hereby irrevocably consent and submit to the jurisdiction thereof and venue therein. Each of the Parties hereby unconditionally and irrevocably waives any objection to venue in the Agreed Courts.</w:t>
      </w:r>
    </w:p>
    <w:p>
      <w:pPr>
        <w:spacing w:after="0" w:line="188" w:lineRule="exact"/>
        <w:rPr>
          <w:rFonts w:ascii="Arial" w:cs="Arial" w:eastAsia="Arial" w:hAnsi="Arial"/>
          <w:sz w:val="21"/>
          <w:szCs w:val="21"/>
          <w:color w:val="3B3B3B"/>
        </w:rPr>
      </w:pPr>
    </w:p>
    <w:p>
      <w:pPr>
        <w:jc w:val="both"/>
        <w:ind w:firstLine="1293"/>
        <w:spacing w:after="0" w:line="216" w:lineRule="auto"/>
        <w:tabs>
          <w:tab w:leader="none" w:pos="1847" w:val="left"/>
        </w:tabs>
        <w:numPr>
          <w:ilvl w:val="0"/>
          <w:numId w:val="35"/>
        </w:numPr>
        <w:rPr>
          <w:rFonts w:ascii="Arial" w:cs="Arial" w:eastAsia="Arial" w:hAnsi="Arial"/>
          <w:sz w:val="21"/>
          <w:szCs w:val="21"/>
          <w:color w:val="3B3B3B"/>
        </w:rPr>
      </w:pPr>
      <w:r>
        <w:rPr>
          <w:rFonts w:ascii="Arial" w:cs="Arial" w:eastAsia="Arial" w:hAnsi="Arial"/>
          <w:sz w:val="21"/>
          <w:szCs w:val="21"/>
          <w:u w:val="single" w:color="auto"/>
          <w:color w:val="3B3B3B"/>
        </w:rPr>
        <w:t>Waiver of Jury Trial</w:t>
      </w:r>
      <w:r>
        <w:rPr>
          <w:rFonts w:ascii="Arial" w:cs="Arial" w:eastAsia="Arial" w:hAnsi="Arial"/>
          <w:sz w:val="21"/>
          <w:szCs w:val="21"/>
          <w:color w:val="3B3B3B"/>
        </w:rPr>
        <w:t xml:space="preserve">. Each of the Parties hereto hereby irrevocably waives any and all right to trial by jury in any legal proceeding arising out of or related to this Agreement or the transactions contemplated hereby or thereby. The waiver in this </w:t>
      </w:r>
      <w:r>
        <w:rPr>
          <w:rFonts w:ascii="Arial" w:cs="Arial" w:eastAsia="Arial" w:hAnsi="Arial"/>
          <w:sz w:val="21"/>
          <w:szCs w:val="21"/>
          <w:u w:val="single" w:color="auto"/>
          <w:color w:val="3B3B3B"/>
        </w:rPr>
        <w:t>Section 14.2</w:t>
      </w:r>
      <w:r>
        <w:rPr>
          <w:rFonts w:ascii="Arial" w:cs="Arial" w:eastAsia="Arial" w:hAnsi="Arial"/>
          <w:sz w:val="21"/>
          <w:szCs w:val="21"/>
          <w:color w:val="3B3B3B"/>
        </w:rPr>
        <w:t xml:space="preserve"> has been made with the advice of counsel and with a full understanding of the legal consequences thereof and shall survive the termination of this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B3B3B"/>
        </w:rPr>
        <w:t>ARTICLE 15</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B3B3B"/>
        </w:rPr>
        <w:t>MISCELLANEOUS</w:t>
      </w:r>
    </w:p>
    <w:p>
      <w:pPr>
        <w:spacing w:after="0" w:line="204" w:lineRule="exact"/>
        <w:rPr>
          <w:sz w:val="20"/>
          <w:szCs w:val="20"/>
          <w:color w:val="auto"/>
        </w:rPr>
      </w:pPr>
    </w:p>
    <w:p>
      <w:pPr>
        <w:jc w:val="both"/>
        <w:ind w:firstLine="647"/>
        <w:spacing w:after="0" w:line="223" w:lineRule="auto"/>
        <w:rPr>
          <w:sz w:val="20"/>
          <w:szCs w:val="20"/>
          <w:color w:val="auto"/>
        </w:rPr>
      </w:pPr>
      <w:r>
        <w:rPr>
          <w:rFonts w:ascii="Arial" w:cs="Arial" w:eastAsia="Arial" w:hAnsi="Arial"/>
          <w:sz w:val="21"/>
          <w:szCs w:val="21"/>
          <w:b w:val="1"/>
          <w:bCs w:val="1"/>
          <w:color w:val="3B3B3B"/>
        </w:rPr>
        <w:t xml:space="preserve">Section 15.1 </w:t>
      </w:r>
      <w:r>
        <w:rPr>
          <w:rFonts w:ascii="Arial" w:cs="Arial" w:eastAsia="Arial" w:hAnsi="Arial"/>
          <w:sz w:val="21"/>
          <w:szCs w:val="21"/>
          <w:b w:val="1"/>
          <w:bCs w:val="1"/>
          <w:u w:val="single" w:color="auto"/>
          <w:color w:val="3B3B3B"/>
        </w:rPr>
        <w:t>Entire Agreement</w:t>
      </w:r>
      <w:r>
        <w:rPr>
          <w:rFonts w:ascii="Arial" w:cs="Arial" w:eastAsia="Arial" w:hAnsi="Arial"/>
          <w:sz w:val="21"/>
          <w:szCs w:val="21"/>
          <w:color w:val="3B3B3B"/>
        </w:rPr>
        <w:t>. This Agreement constitutes the entire agreement between the Parties with respect to subject</w:t>
      </w:r>
      <w:r>
        <w:rPr>
          <w:rFonts w:ascii="Arial" w:cs="Arial" w:eastAsia="Arial" w:hAnsi="Arial"/>
          <w:sz w:val="21"/>
          <w:szCs w:val="21"/>
          <w:b w:val="1"/>
          <w:bCs w:val="1"/>
          <w:color w:val="3B3B3B"/>
        </w:rPr>
        <w:t xml:space="preserve"> </w:t>
      </w:r>
      <w:r>
        <w:rPr>
          <w:rFonts w:ascii="Arial" w:cs="Arial" w:eastAsia="Arial" w:hAnsi="Arial"/>
          <w:sz w:val="21"/>
          <w:szCs w:val="21"/>
          <w:color w:val="3B3B3B"/>
        </w:rPr>
        <w:t>matter herein and no arrangements, agreements or understandings exist between the Parties regarding the subject matter of this Agreement other than as expressed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 19</w:t>
      </w:r>
    </w:p>
    <w:p>
      <w:pPr>
        <w:sectPr>
          <w:pgSz w:w="11900" w:h="16838" w:orient="portrait"/>
          <w:cols w:equalWidth="0" w:num="1">
            <w:col w:w="11040"/>
          </w:cols>
          <w:pgMar w:left="420" w:top="1395" w:right="439" w:bottom="1440" w:gutter="0" w:footer="0" w:header="0"/>
        </w:sectPr>
      </w:pPr>
    </w:p>
    <w:bookmarkStart w:id="52" w:name="page53"/>
    <w:bookmarkEnd w:id="52"/>
    <w:p>
      <w:pPr>
        <w:ind w:left="100" w:firstLine="647"/>
        <w:spacing w:after="0" w:line="213" w:lineRule="auto"/>
        <w:rPr>
          <w:sz w:val="20"/>
          <w:szCs w:val="20"/>
          <w:color w:val="auto"/>
        </w:rPr>
      </w:pPr>
      <w:r>
        <w:rPr>
          <w:rFonts w:ascii="Arial" w:cs="Arial" w:eastAsia="Arial" w:hAnsi="Arial"/>
          <w:sz w:val="21"/>
          <w:szCs w:val="21"/>
          <w:b w:val="1"/>
          <w:bCs w:val="1"/>
          <w:color w:val="3B3B3B"/>
        </w:rPr>
        <w:t xml:space="preserve">Section 15.2 </w:t>
      </w:r>
      <w:r>
        <w:rPr>
          <w:rFonts w:ascii="Arial" w:cs="Arial" w:eastAsia="Arial" w:hAnsi="Arial"/>
          <w:sz w:val="21"/>
          <w:szCs w:val="21"/>
          <w:b w:val="1"/>
          <w:bCs w:val="1"/>
          <w:u w:val="single" w:color="auto"/>
          <w:color w:val="3B3B3B"/>
        </w:rPr>
        <w:t>Notices</w:t>
      </w:r>
      <w:r>
        <w:rPr>
          <w:rFonts w:ascii="Arial" w:cs="Arial" w:eastAsia="Arial" w:hAnsi="Arial"/>
          <w:sz w:val="21"/>
          <w:szCs w:val="21"/>
          <w:color w:val="3B3B3B"/>
        </w:rPr>
        <w:t>. Any and all notices and other communications required or permitted to be given under this Agreement</w:t>
      </w:r>
      <w:r>
        <w:rPr>
          <w:rFonts w:ascii="Arial" w:cs="Arial" w:eastAsia="Arial" w:hAnsi="Arial"/>
          <w:sz w:val="21"/>
          <w:szCs w:val="21"/>
          <w:b w:val="1"/>
          <w:bCs w:val="1"/>
          <w:color w:val="3B3B3B"/>
        </w:rPr>
        <w:t xml:space="preserve"> </w:t>
      </w:r>
      <w:r>
        <w:rPr>
          <w:rFonts w:ascii="Arial" w:cs="Arial" w:eastAsia="Arial" w:hAnsi="Arial"/>
          <w:sz w:val="21"/>
          <w:szCs w:val="21"/>
          <w:color w:val="3B3B3B"/>
        </w:rPr>
        <w:t>shall be in writing and shall be deemed to have been duly given when</w:t>
      </w:r>
    </w:p>
    <w:p>
      <w:pPr>
        <w:jc w:val="both"/>
        <w:ind w:left="100" w:hanging="2"/>
        <w:spacing w:after="0" w:line="208" w:lineRule="auto"/>
        <w:tabs>
          <w:tab w:leader="none" w:pos="654" w:val="left"/>
        </w:tabs>
        <w:numPr>
          <w:ilvl w:val="0"/>
          <w:numId w:val="36"/>
        </w:numPr>
        <w:rPr>
          <w:rFonts w:ascii="Arial" w:cs="Arial" w:eastAsia="Arial" w:hAnsi="Arial"/>
          <w:sz w:val="21"/>
          <w:szCs w:val="21"/>
          <w:color w:val="3B3B3B"/>
        </w:rPr>
      </w:pPr>
      <w:r>
        <w:rPr>
          <w:rFonts w:ascii="Arial" w:cs="Arial" w:eastAsia="Arial" w:hAnsi="Arial"/>
          <w:sz w:val="21"/>
          <w:szCs w:val="21"/>
          <w:color w:val="3B3B3B"/>
        </w:rPr>
        <w:t>received by the receiving Party if mailed via United States registered or certified mail, return receipt requested, (b) received by the receiving Party if mailed by United States overnight express mail, (c) sent by facsimile or telecopy machine, followed by confirmation mailed by United States first-class mail or overnight express mail, (d) delivered to the receiving Party via electronic mail to the recipients’ e-mail address shown below or any successor e-mail addresses provided by a Party, followed by confirmation mailed by United States first-class mail or overnight express mail or (e) delivered in person or by commercial courier to the Parties at the following addresses:</w:t>
      </w:r>
    </w:p>
    <w:p>
      <w:pPr>
        <w:spacing w:after="0" w:line="184" w:lineRule="exact"/>
        <w:rPr>
          <w:sz w:val="20"/>
          <w:szCs w:val="20"/>
          <w:color w:val="auto"/>
        </w:rPr>
      </w:pPr>
    </w:p>
    <w:p>
      <w:pPr>
        <w:ind w:left="2700"/>
        <w:spacing w:after="0"/>
        <w:tabs>
          <w:tab w:leader="none" w:pos="3760" w:val="left"/>
        </w:tabs>
        <w:rPr>
          <w:sz w:val="20"/>
          <w:szCs w:val="20"/>
          <w:color w:val="auto"/>
        </w:rPr>
      </w:pPr>
      <w:r>
        <w:rPr>
          <w:rFonts w:ascii="Arial" w:cs="Arial" w:eastAsia="Arial" w:hAnsi="Arial"/>
          <w:sz w:val="21"/>
          <w:szCs w:val="21"/>
          <w:color w:val="3B3B3B"/>
        </w:rPr>
        <w:t>If to Arch:</w:t>
        <w:tab/>
        <w:t>[***]</w:t>
      </w:r>
    </w:p>
    <w:p>
      <w:pPr>
        <w:spacing w:after="0" w:line="285" w:lineRule="exact"/>
        <w:rPr>
          <w:sz w:val="20"/>
          <w:szCs w:val="20"/>
          <w:color w:val="auto"/>
        </w:rPr>
      </w:pPr>
    </w:p>
    <w:p>
      <w:pPr>
        <w:ind w:left="200"/>
        <w:spacing w:after="0"/>
        <w:tabs>
          <w:tab w:leader="none" w:pos="1660" w:val="left"/>
        </w:tabs>
        <w:rPr>
          <w:sz w:val="20"/>
          <w:szCs w:val="20"/>
          <w:color w:val="auto"/>
        </w:rPr>
      </w:pPr>
      <w:r>
        <w:rPr>
          <w:rFonts w:ascii="Arial" w:cs="Arial" w:eastAsia="Arial" w:hAnsi="Arial"/>
          <w:sz w:val="21"/>
          <w:szCs w:val="21"/>
          <w:color w:val="3B3B3B"/>
        </w:rPr>
        <w:t>With a copy to:</w:t>
        <w:tab/>
        <w:t>[***]</w:t>
      </w:r>
    </w:p>
    <w:p>
      <w:pPr>
        <w:spacing w:after="0" w:line="204" w:lineRule="exact"/>
        <w:rPr>
          <w:sz w:val="20"/>
          <w:szCs w:val="20"/>
          <w:color w:val="auto"/>
        </w:rPr>
      </w:pPr>
    </w:p>
    <w:p>
      <w:pPr>
        <w:ind w:left="2700"/>
        <w:spacing w:after="0"/>
        <w:tabs>
          <w:tab w:leader="none" w:pos="4920" w:val="left"/>
        </w:tabs>
        <w:rPr>
          <w:sz w:val="20"/>
          <w:szCs w:val="20"/>
          <w:color w:val="auto"/>
        </w:rPr>
      </w:pPr>
      <w:r>
        <w:rPr>
          <w:rFonts w:ascii="Arial" w:cs="Arial" w:eastAsia="Arial" w:hAnsi="Arial"/>
          <w:sz w:val="21"/>
          <w:szCs w:val="21"/>
          <w:color w:val="3C3C3C"/>
        </w:rPr>
        <w:t>If to Lenders Protection:</w:t>
      </w:r>
      <w:r>
        <w:rPr>
          <w:rFonts w:ascii="Arial" w:cs="Arial" w:eastAsia="Arial" w:hAnsi="Arial"/>
          <w:sz w:val="21"/>
          <w:szCs w:val="21"/>
          <w:color w:val="3B3B3B"/>
        </w:rPr>
        <w:tab/>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21"/>
          <w:szCs w:val="21"/>
          <w:color w:val="3B3B3B"/>
        </w:rPr>
        <w:t>With mandatory copy to:</w:t>
      </w:r>
    </w:p>
    <w:p>
      <w:pPr>
        <w:ind w:left="2700"/>
        <w:spacing w:after="0"/>
        <w:rPr>
          <w:sz w:val="20"/>
          <w:szCs w:val="20"/>
          <w:color w:val="auto"/>
        </w:rPr>
      </w:pPr>
      <w:r>
        <w:rPr>
          <w:rFonts w:ascii="Arial" w:cs="Arial" w:eastAsia="Arial" w:hAnsi="Arial"/>
          <w:sz w:val="21"/>
          <w:szCs w:val="21"/>
          <w:color w:val="3B3B3B"/>
        </w:rPr>
        <w:t>[***]</w:t>
      </w:r>
    </w:p>
    <w:p>
      <w:pPr>
        <w:spacing w:after="0" w:line="375" w:lineRule="exact"/>
        <w:rPr>
          <w:sz w:val="20"/>
          <w:szCs w:val="20"/>
          <w:color w:val="auto"/>
        </w:rPr>
      </w:pPr>
    </w:p>
    <w:p>
      <w:pPr>
        <w:ind w:left="100" w:right="120"/>
        <w:spacing w:after="0" w:line="232" w:lineRule="auto"/>
        <w:rPr>
          <w:sz w:val="20"/>
          <w:szCs w:val="20"/>
          <w:color w:val="auto"/>
        </w:rPr>
      </w:pPr>
      <w:r>
        <w:rPr>
          <w:rFonts w:ascii="Arial" w:cs="Arial" w:eastAsia="Arial" w:hAnsi="Arial"/>
          <w:sz w:val="21"/>
          <w:szCs w:val="21"/>
          <w:color w:val="3C3C3C"/>
        </w:rPr>
        <w:t xml:space="preserve">Either Party may change the names or addresses where notice is to be given by providing notice to the other Party of such change in accordance with this </w:t>
      </w:r>
      <w:r>
        <w:rPr>
          <w:rFonts w:ascii="Arial" w:cs="Arial" w:eastAsia="Arial" w:hAnsi="Arial"/>
          <w:sz w:val="21"/>
          <w:szCs w:val="21"/>
          <w:u w:val="single" w:color="auto"/>
          <w:color w:val="3C3C3C"/>
        </w:rPr>
        <w:t>Section 15.2</w:t>
      </w:r>
      <w:r>
        <w:rPr>
          <w:rFonts w:ascii="Arial" w:cs="Arial" w:eastAsia="Arial" w:hAnsi="Arial"/>
          <w:sz w:val="21"/>
          <w:szCs w:val="21"/>
          <w:color w:val="3C3C3C"/>
        </w:rPr>
        <w:t>.</w:t>
      </w:r>
    </w:p>
    <w:p>
      <w:pPr>
        <w:spacing w:after="0" w:line="243" w:lineRule="exact"/>
        <w:rPr>
          <w:sz w:val="20"/>
          <w:szCs w:val="20"/>
          <w:color w:val="auto"/>
        </w:rPr>
      </w:pPr>
    </w:p>
    <w:p>
      <w:pPr>
        <w:jc w:val="both"/>
        <w:spacing w:after="0" w:line="233" w:lineRule="auto"/>
        <w:rPr>
          <w:sz w:val="20"/>
          <w:szCs w:val="20"/>
          <w:color w:val="auto"/>
        </w:rPr>
      </w:pPr>
      <w:r>
        <w:rPr>
          <w:rFonts w:ascii="Arial" w:cs="Arial" w:eastAsia="Arial" w:hAnsi="Arial"/>
          <w:sz w:val="19"/>
          <w:szCs w:val="19"/>
          <w:b w:val="1"/>
          <w:bCs w:val="1"/>
          <w:color w:val="3C3C3C"/>
        </w:rPr>
        <w:t xml:space="preserve">Section 15.3 </w:t>
      </w:r>
      <w:r>
        <w:rPr>
          <w:rFonts w:ascii="Arial" w:cs="Arial" w:eastAsia="Arial" w:hAnsi="Arial"/>
          <w:sz w:val="19"/>
          <w:szCs w:val="19"/>
          <w:b w:val="1"/>
          <w:bCs w:val="1"/>
          <w:u w:val="single" w:color="auto"/>
          <w:color w:val="3C3C3C"/>
        </w:rPr>
        <w:t>Severability; Remedies</w:t>
      </w:r>
      <w:r>
        <w:rPr>
          <w:rFonts w:ascii="Arial" w:cs="Arial" w:eastAsia="Arial" w:hAnsi="Arial"/>
          <w:sz w:val="19"/>
          <w:szCs w:val="19"/>
          <w:color w:val="3C3C3C"/>
        </w:rPr>
        <w:t>. If any provision of this Agreement shall be rendered illegal or unenforceable by Applicable</w:t>
      </w:r>
      <w:r>
        <w:rPr>
          <w:rFonts w:ascii="Arial" w:cs="Arial" w:eastAsia="Arial" w:hAnsi="Arial"/>
          <w:sz w:val="19"/>
          <w:szCs w:val="19"/>
          <w:b w:val="1"/>
          <w:bCs w:val="1"/>
          <w:color w:val="3C3C3C"/>
        </w:rPr>
        <w:t xml:space="preserve"> </w:t>
      </w:r>
      <w:r>
        <w:rPr>
          <w:rFonts w:ascii="Arial" w:cs="Arial" w:eastAsia="Arial" w:hAnsi="Arial"/>
          <w:sz w:val="19"/>
          <w:szCs w:val="19"/>
          <w:color w:val="3C3C3C"/>
        </w:rPr>
        <w:t xml:space="preserve">Laws of any state, such provision shall be considered void in such state, but this shall not affect the validity or enforceability of any other provision of this Agreement or the enforceability of such provision in any other jurisdiction. Except to the extent expressly required otherwise, the remedies provided herein shall not be exclusive of any other rights or remedies available by one Party against the other, either at law or in equity. For purposes of establishing absolute clarity, Arch hereby agrees and acknowledges that its agreement to permit an Extension Period to the Non-Compete Period (as contemplated by </w:t>
      </w:r>
      <w:r>
        <w:rPr>
          <w:rFonts w:ascii="Arial" w:cs="Arial" w:eastAsia="Arial" w:hAnsi="Arial"/>
          <w:sz w:val="19"/>
          <w:szCs w:val="19"/>
          <w:u w:val="single" w:color="auto"/>
          <w:color w:val="3C3C3C"/>
        </w:rPr>
        <w:t>Section 3.1(e)</w:t>
      </w:r>
      <w:r>
        <w:rPr>
          <w:rFonts w:ascii="Arial" w:cs="Arial" w:eastAsia="Arial" w:hAnsi="Arial"/>
          <w:sz w:val="19"/>
          <w:szCs w:val="19"/>
          <w:color w:val="3C3C3C"/>
        </w:rPr>
        <w:t xml:space="preserve"> shall be deemed an additional remedy and shall not preclude Lenders Protection from seeking any other rights or remedies available at law or in equity.</w:t>
      </w:r>
    </w:p>
    <w:p>
      <w:pPr>
        <w:spacing w:after="0" w:line="176" w:lineRule="exact"/>
        <w:rPr>
          <w:sz w:val="20"/>
          <w:szCs w:val="20"/>
          <w:color w:val="auto"/>
        </w:rPr>
      </w:pPr>
    </w:p>
    <w:p>
      <w:pPr>
        <w:jc w:val="both"/>
        <w:ind w:left="100" w:right="20" w:firstLine="647"/>
        <w:spacing w:after="0" w:line="234" w:lineRule="auto"/>
        <w:rPr>
          <w:sz w:val="20"/>
          <w:szCs w:val="20"/>
          <w:color w:val="auto"/>
        </w:rPr>
      </w:pPr>
      <w:r>
        <w:rPr>
          <w:rFonts w:ascii="Arial" w:cs="Arial" w:eastAsia="Arial" w:hAnsi="Arial"/>
          <w:sz w:val="21"/>
          <w:szCs w:val="21"/>
          <w:b w:val="1"/>
          <w:bCs w:val="1"/>
          <w:color w:val="3C3C3C"/>
        </w:rPr>
        <w:t xml:space="preserve">Section 15.4 </w:t>
      </w:r>
      <w:r>
        <w:rPr>
          <w:rFonts w:ascii="Arial" w:cs="Arial" w:eastAsia="Arial" w:hAnsi="Arial"/>
          <w:sz w:val="21"/>
          <w:szCs w:val="21"/>
          <w:b w:val="1"/>
          <w:bCs w:val="1"/>
          <w:u w:val="single" w:color="auto"/>
          <w:color w:val="3C3C3C"/>
        </w:rPr>
        <w:t>Amendments</w:t>
      </w:r>
      <w:r>
        <w:rPr>
          <w:rFonts w:ascii="Arial" w:cs="Arial" w:eastAsia="Arial" w:hAnsi="Arial"/>
          <w:sz w:val="21"/>
          <w:szCs w:val="21"/>
          <w:color w:val="3C3C3C"/>
        </w:rPr>
        <w:t>. No amendment, change or modification of this Agreement shall be valid or binding unless set</w:t>
      </w:r>
      <w:r>
        <w:rPr>
          <w:rFonts w:ascii="Arial" w:cs="Arial" w:eastAsia="Arial" w:hAnsi="Arial"/>
          <w:sz w:val="21"/>
          <w:szCs w:val="21"/>
          <w:b w:val="1"/>
          <w:bCs w:val="1"/>
          <w:color w:val="3C3C3C"/>
        </w:rPr>
        <w:t xml:space="preserve"> </w:t>
      </w:r>
      <w:r>
        <w:rPr>
          <w:rFonts w:ascii="Arial" w:cs="Arial" w:eastAsia="Arial" w:hAnsi="Arial"/>
          <w:sz w:val="21"/>
          <w:szCs w:val="21"/>
          <w:color w:val="3C3C3C"/>
        </w:rPr>
        <w:t>forth in writing duly executed by both Parties.</w:t>
      </w:r>
    </w:p>
    <w:p>
      <w:pPr>
        <w:spacing w:after="0" w:line="177" w:lineRule="exact"/>
        <w:rPr>
          <w:sz w:val="20"/>
          <w:szCs w:val="20"/>
          <w:color w:val="auto"/>
        </w:rPr>
      </w:pPr>
    </w:p>
    <w:p>
      <w:pPr>
        <w:jc w:val="both"/>
        <w:ind w:left="100" w:right="20" w:firstLine="647"/>
        <w:spacing w:after="0" w:line="234" w:lineRule="auto"/>
        <w:rPr>
          <w:sz w:val="20"/>
          <w:szCs w:val="20"/>
          <w:color w:val="auto"/>
        </w:rPr>
      </w:pPr>
      <w:r>
        <w:rPr>
          <w:rFonts w:ascii="Arial" w:cs="Arial" w:eastAsia="Arial" w:hAnsi="Arial"/>
          <w:sz w:val="21"/>
          <w:szCs w:val="21"/>
          <w:b w:val="1"/>
          <w:bCs w:val="1"/>
          <w:color w:val="3C3C3C"/>
        </w:rPr>
        <w:t xml:space="preserve">Section 15.5 </w:t>
      </w:r>
      <w:r>
        <w:rPr>
          <w:rFonts w:ascii="Arial" w:cs="Arial" w:eastAsia="Arial" w:hAnsi="Arial"/>
          <w:sz w:val="21"/>
          <w:szCs w:val="21"/>
          <w:b w:val="1"/>
          <w:bCs w:val="1"/>
          <w:u w:val="single" w:color="auto"/>
          <w:color w:val="3C3C3C"/>
        </w:rPr>
        <w:t>Survival</w:t>
      </w:r>
      <w:r>
        <w:rPr>
          <w:rFonts w:ascii="Arial" w:cs="Arial" w:eastAsia="Arial" w:hAnsi="Arial"/>
          <w:sz w:val="21"/>
          <w:szCs w:val="21"/>
          <w:color w:val="3C3C3C"/>
        </w:rPr>
        <w:t>. It is expressly agreed by the Parties that the terms, conditions and obligations contained in</w:t>
      </w:r>
      <w:r>
        <w:rPr>
          <w:rFonts w:ascii="Arial" w:cs="Arial" w:eastAsia="Arial" w:hAnsi="Arial"/>
          <w:sz w:val="21"/>
          <w:szCs w:val="21"/>
          <w:b w:val="1"/>
          <w:bCs w:val="1"/>
          <w:color w:val="3C3C3C"/>
        </w:rPr>
        <w:t xml:space="preserve"> </w:t>
      </w:r>
      <w:r>
        <w:rPr>
          <w:rFonts w:ascii="Arial" w:cs="Arial" w:eastAsia="Arial" w:hAnsi="Arial"/>
          <w:sz w:val="21"/>
          <w:szCs w:val="21"/>
          <w:u w:val="single" w:color="auto"/>
          <w:color w:val="3C3C3C"/>
        </w:rPr>
        <w:t>Articles 1</w:t>
      </w:r>
      <w:r>
        <w:rPr>
          <w:rFonts w:ascii="Arial" w:cs="Arial" w:eastAsia="Arial" w:hAnsi="Arial"/>
          <w:sz w:val="21"/>
          <w:szCs w:val="21"/>
          <w:color w:val="3C3C3C"/>
        </w:rPr>
        <w:t>,</w:t>
      </w:r>
      <w:r>
        <w:rPr>
          <w:rFonts w:ascii="Arial" w:cs="Arial" w:eastAsia="Arial" w:hAnsi="Arial"/>
          <w:sz w:val="21"/>
          <w:szCs w:val="21"/>
          <w:b w:val="1"/>
          <w:bCs w:val="1"/>
          <w:color w:val="3C3C3C"/>
        </w:rPr>
        <w:t xml:space="preserve"> </w:t>
      </w:r>
      <w:r>
        <w:rPr>
          <w:rFonts w:ascii="Arial" w:cs="Arial" w:eastAsia="Arial" w:hAnsi="Arial"/>
          <w:sz w:val="21"/>
          <w:szCs w:val="21"/>
          <w:u w:val="single" w:color="auto"/>
          <w:color w:val="3C3C3C"/>
        </w:rPr>
        <w:t>5 - 15</w:t>
      </w:r>
      <w:r>
        <w:rPr>
          <w:rFonts w:ascii="Arial" w:cs="Arial" w:eastAsia="Arial" w:hAnsi="Arial"/>
          <w:sz w:val="21"/>
          <w:szCs w:val="21"/>
          <w:color w:val="3C3C3C"/>
        </w:rPr>
        <w:t xml:space="preserve"> and </w:t>
      </w:r>
      <w:r>
        <w:rPr>
          <w:rFonts w:ascii="Arial" w:cs="Arial" w:eastAsia="Arial" w:hAnsi="Arial"/>
          <w:sz w:val="21"/>
          <w:szCs w:val="21"/>
          <w:u w:val="single" w:color="auto"/>
          <w:color w:val="3C3C3C"/>
        </w:rPr>
        <w:t>Sections 2.3</w:t>
      </w:r>
      <w:r>
        <w:rPr>
          <w:rFonts w:ascii="Arial" w:cs="Arial" w:eastAsia="Arial" w:hAnsi="Arial"/>
          <w:sz w:val="21"/>
          <w:szCs w:val="21"/>
          <w:color w:val="3C3C3C"/>
        </w:rPr>
        <w:t xml:space="preserve">, </w:t>
      </w:r>
      <w:r>
        <w:rPr>
          <w:rFonts w:ascii="Arial" w:cs="Arial" w:eastAsia="Arial" w:hAnsi="Arial"/>
          <w:sz w:val="21"/>
          <w:szCs w:val="21"/>
          <w:u w:val="single" w:color="auto"/>
          <w:color w:val="3C3C3C"/>
        </w:rPr>
        <w:t>3.1</w:t>
      </w:r>
      <w:r>
        <w:rPr>
          <w:rFonts w:ascii="Arial" w:cs="Arial" w:eastAsia="Arial" w:hAnsi="Arial"/>
          <w:sz w:val="21"/>
          <w:szCs w:val="21"/>
          <w:color w:val="3C3C3C"/>
        </w:rPr>
        <w:t xml:space="preserve">, </w:t>
      </w:r>
      <w:r>
        <w:rPr>
          <w:rFonts w:ascii="Arial" w:cs="Arial" w:eastAsia="Arial" w:hAnsi="Arial"/>
          <w:sz w:val="21"/>
          <w:szCs w:val="21"/>
          <w:u w:val="single" w:color="auto"/>
          <w:color w:val="3C3C3C"/>
        </w:rPr>
        <w:t>4.2</w:t>
      </w:r>
      <w:r>
        <w:rPr>
          <w:rFonts w:ascii="Arial" w:cs="Arial" w:eastAsia="Arial" w:hAnsi="Arial"/>
          <w:sz w:val="21"/>
          <w:szCs w:val="21"/>
          <w:color w:val="3C3C3C"/>
        </w:rPr>
        <w:t xml:space="preserve"> and </w:t>
      </w:r>
      <w:r>
        <w:rPr>
          <w:rFonts w:ascii="Arial" w:cs="Arial" w:eastAsia="Arial" w:hAnsi="Arial"/>
          <w:sz w:val="21"/>
          <w:szCs w:val="21"/>
          <w:u w:val="single" w:color="auto"/>
          <w:color w:val="3C3C3C"/>
        </w:rPr>
        <w:t>4.3</w:t>
      </w:r>
      <w:r>
        <w:rPr>
          <w:rFonts w:ascii="Arial" w:cs="Arial" w:eastAsia="Arial" w:hAnsi="Arial"/>
          <w:sz w:val="21"/>
          <w:szCs w:val="21"/>
          <w:color w:val="3C3C3C"/>
        </w:rPr>
        <w:t xml:space="preserve"> herein shall survive any termination of this Agreement.</w:t>
      </w:r>
    </w:p>
    <w:p>
      <w:pPr>
        <w:spacing w:after="0" w:line="177" w:lineRule="exact"/>
        <w:rPr>
          <w:sz w:val="20"/>
          <w:szCs w:val="20"/>
          <w:color w:val="auto"/>
        </w:rPr>
      </w:pPr>
    </w:p>
    <w:p>
      <w:pPr>
        <w:jc w:val="both"/>
        <w:ind w:left="100" w:firstLine="647"/>
        <w:spacing w:after="0" w:line="225" w:lineRule="auto"/>
        <w:rPr>
          <w:sz w:val="20"/>
          <w:szCs w:val="20"/>
          <w:color w:val="auto"/>
        </w:rPr>
      </w:pPr>
      <w:r>
        <w:rPr>
          <w:rFonts w:ascii="Arial" w:cs="Arial" w:eastAsia="Arial" w:hAnsi="Arial"/>
          <w:sz w:val="20"/>
          <w:szCs w:val="20"/>
          <w:b w:val="1"/>
          <w:bCs w:val="1"/>
          <w:color w:val="3C3C3C"/>
        </w:rPr>
        <w:t xml:space="preserve">Section 15.6 </w:t>
      </w:r>
      <w:r>
        <w:rPr>
          <w:rFonts w:ascii="Arial" w:cs="Arial" w:eastAsia="Arial" w:hAnsi="Arial"/>
          <w:sz w:val="20"/>
          <w:szCs w:val="20"/>
          <w:b w:val="1"/>
          <w:bCs w:val="1"/>
          <w:u w:val="single" w:color="auto"/>
          <w:color w:val="3C3C3C"/>
        </w:rPr>
        <w:t>Assignment</w:t>
      </w:r>
      <w:r>
        <w:rPr>
          <w:rFonts w:ascii="Arial" w:cs="Arial" w:eastAsia="Arial" w:hAnsi="Arial"/>
          <w:sz w:val="20"/>
          <w:szCs w:val="20"/>
          <w:color w:val="3C3C3C"/>
        </w:rPr>
        <w:t>. Subject to the provisions of</w:t>
      </w:r>
      <w:r>
        <w:rPr>
          <w:rFonts w:ascii="Arial" w:cs="Arial" w:eastAsia="Arial" w:hAnsi="Arial"/>
          <w:sz w:val="20"/>
          <w:szCs w:val="20"/>
          <w:b w:val="1"/>
          <w:bCs w:val="1"/>
          <w:color w:val="3C3C3C"/>
        </w:rPr>
        <w:t xml:space="preserve"> </w:t>
      </w:r>
      <w:r>
        <w:rPr>
          <w:rFonts w:ascii="Arial" w:cs="Arial" w:eastAsia="Arial" w:hAnsi="Arial"/>
          <w:sz w:val="20"/>
          <w:szCs w:val="20"/>
          <w:u w:val="single" w:color="auto"/>
          <w:color w:val="3C3C3C"/>
        </w:rPr>
        <w:t>Section 2.2(f)</w:t>
      </w:r>
      <w:r>
        <w:rPr>
          <w:rFonts w:ascii="Arial" w:cs="Arial" w:eastAsia="Arial" w:hAnsi="Arial"/>
          <w:sz w:val="20"/>
          <w:szCs w:val="20"/>
          <w:b w:val="1"/>
          <w:bCs w:val="1"/>
          <w:color w:val="3C3C3C"/>
        </w:rPr>
        <w:t xml:space="preserve"> </w:t>
      </w:r>
      <w:r>
        <w:rPr>
          <w:rFonts w:ascii="Arial" w:cs="Arial" w:eastAsia="Arial" w:hAnsi="Arial"/>
          <w:sz w:val="20"/>
          <w:szCs w:val="20"/>
          <w:color w:val="3C3C3C"/>
        </w:rPr>
        <w:t>or</w:t>
      </w:r>
      <w:r>
        <w:rPr>
          <w:rFonts w:ascii="Arial" w:cs="Arial" w:eastAsia="Arial" w:hAnsi="Arial"/>
          <w:sz w:val="20"/>
          <w:szCs w:val="20"/>
          <w:b w:val="1"/>
          <w:bCs w:val="1"/>
          <w:color w:val="3C3C3C"/>
        </w:rPr>
        <w:t xml:space="preserve"> </w:t>
      </w:r>
      <w:r>
        <w:rPr>
          <w:rFonts w:ascii="Arial" w:cs="Arial" w:eastAsia="Arial" w:hAnsi="Arial"/>
          <w:sz w:val="20"/>
          <w:szCs w:val="20"/>
          <w:u w:val="single" w:color="auto"/>
          <w:color w:val="3C3C3C"/>
        </w:rPr>
        <w:t>Section 2.2(g)</w:t>
      </w:r>
      <w:r>
        <w:rPr>
          <w:rFonts w:ascii="Arial" w:cs="Arial" w:eastAsia="Arial" w:hAnsi="Arial"/>
          <w:sz w:val="20"/>
          <w:szCs w:val="20"/>
          <w:b w:val="1"/>
          <w:bCs w:val="1"/>
          <w:color w:val="3C3C3C"/>
        </w:rPr>
        <w:t xml:space="preserve"> </w:t>
      </w:r>
      <w:r>
        <w:rPr>
          <w:rFonts w:ascii="Arial" w:cs="Arial" w:eastAsia="Arial" w:hAnsi="Arial"/>
          <w:sz w:val="20"/>
          <w:szCs w:val="20"/>
          <w:color w:val="3C3C3C"/>
        </w:rPr>
        <w:t>above, either Party to this Agreement</w:t>
      </w:r>
      <w:r>
        <w:rPr>
          <w:rFonts w:ascii="Arial" w:cs="Arial" w:eastAsia="Arial" w:hAnsi="Arial"/>
          <w:sz w:val="20"/>
          <w:szCs w:val="20"/>
          <w:b w:val="1"/>
          <w:bCs w:val="1"/>
          <w:color w:val="3C3C3C"/>
        </w:rPr>
        <w:t xml:space="preserve"> </w:t>
      </w:r>
      <w:r>
        <w:rPr>
          <w:rFonts w:ascii="Arial" w:cs="Arial" w:eastAsia="Arial" w:hAnsi="Arial"/>
          <w:sz w:val="20"/>
          <w:szCs w:val="20"/>
          <w:color w:val="3C3C3C"/>
        </w:rPr>
        <w:t>may assign this Agreement or any of its rights or delegate any of its duties or obligations under this Agreement, without the prior written approval of the other Party, in connection with a Change of Control transaction. Neither Party to this Agreement may assign this Agreement or any of its rights or delegate any of its duties or obligations under this Agreement in any transaction not constituting a Change of Control, without the prior written consent of the other Party.</w:t>
      </w:r>
    </w:p>
    <w:p>
      <w:pPr>
        <w:spacing w:after="0" w:line="191" w:lineRule="exact"/>
        <w:rPr>
          <w:sz w:val="20"/>
          <w:szCs w:val="20"/>
          <w:color w:val="auto"/>
        </w:rPr>
      </w:pPr>
    </w:p>
    <w:p>
      <w:pPr>
        <w:jc w:val="both"/>
        <w:ind w:left="100" w:firstLine="647"/>
        <w:spacing w:after="0" w:line="223" w:lineRule="auto"/>
        <w:rPr>
          <w:sz w:val="20"/>
          <w:szCs w:val="20"/>
          <w:color w:val="auto"/>
        </w:rPr>
      </w:pPr>
      <w:r>
        <w:rPr>
          <w:rFonts w:ascii="Arial" w:cs="Arial" w:eastAsia="Arial" w:hAnsi="Arial"/>
          <w:sz w:val="21"/>
          <w:szCs w:val="21"/>
          <w:b w:val="1"/>
          <w:bCs w:val="1"/>
          <w:color w:val="3C3C3C"/>
        </w:rPr>
        <w:t xml:space="preserve">Section 15.7 </w:t>
      </w:r>
      <w:r>
        <w:rPr>
          <w:rFonts w:ascii="Arial" w:cs="Arial" w:eastAsia="Arial" w:hAnsi="Arial"/>
          <w:sz w:val="21"/>
          <w:szCs w:val="21"/>
          <w:b w:val="1"/>
          <w:bCs w:val="1"/>
          <w:u w:val="single" w:color="auto"/>
          <w:color w:val="3C3C3C"/>
        </w:rPr>
        <w:t>No Partnership</w:t>
      </w:r>
      <w:r>
        <w:rPr>
          <w:rFonts w:ascii="Arial" w:cs="Arial" w:eastAsia="Arial" w:hAnsi="Arial"/>
          <w:sz w:val="21"/>
          <w:szCs w:val="21"/>
          <w:b w:val="1"/>
          <w:bCs w:val="1"/>
          <w:color w:val="3C3C3C"/>
        </w:rPr>
        <w:t xml:space="preserve">. </w:t>
      </w:r>
      <w:r>
        <w:rPr>
          <w:rFonts w:ascii="Arial" w:cs="Arial" w:eastAsia="Arial" w:hAnsi="Arial"/>
          <w:sz w:val="21"/>
          <w:szCs w:val="21"/>
          <w:color w:val="3C3C3C"/>
        </w:rPr>
        <w:t>The Parties hereto do not intend to create a relationship of principal and agent, nor do they</w:t>
      </w:r>
      <w:r>
        <w:rPr>
          <w:rFonts w:ascii="Arial" w:cs="Arial" w:eastAsia="Arial" w:hAnsi="Arial"/>
          <w:sz w:val="21"/>
          <w:szCs w:val="21"/>
          <w:b w:val="1"/>
          <w:bCs w:val="1"/>
          <w:color w:val="3C3C3C"/>
        </w:rPr>
        <w:t xml:space="preserve"> </w:t>
      </w:r>
      <w:r>
        <w:rPr>
          <w:rFonts w:ascii="Arial" w:cs="Arial" w:eastAsia="Arial" w:hAnsi="Arial"/>
          <w:sz w:val="21"/>
          <w:szCs w:val="21"/>
          <w:color w:val="3C3C3C"/>
        </w:rPr>
        <w:t>intend to create a joint venture or partnership. No Party hereto shall be liable for or bound by any representation, act or omission whatsoever of the other Party.</w:t>
      </w:r>
    </w:p>
    <w:p>
      <w:pPr>
        <w:spacing w:after="0" w:line="177" w:lineRule="exact"/>
        <w:rPr>
          <w:sz w:val="20"/>
          <w:szCs w:val="20"/>
          <w:color w:val="auto"/>
        </w:rPr>
      </w:pPr>
    </w:p>
    <w:p>
      <w:pPr>
        <w:jc w:val="both"/>
        <w:ind w:left="100" w:firstLine="647"/>
        <w:spacing w:after="0" w:line="218" w:lineRule="auto"/>
        <w:rPr>
          <w:sz w:val="20"/>
          <w:szCs w:val="20"/>
          <w:color w:val="auto"/>
        </w:rPr>
      </w:pPr>
      <w:r>
        <w:rPr>
          <w:rFonts w:ascii="Arial" w:cs="Arial" w:eastAsia="Arial" w:hAnsi="Arial"/>
          <w:sz w:val="21"/>
          <w:szCs w:val="21"/>
          <w:b w:val="1"/>
          <w:bCs w:val="1"/>
          <w:color w:val="3C3C3C"/>
        </w:rPr>
        <w:t xml:space="preserve">Section 15.8 </w:t>
      </w:r>
      <w:r>
        <w:rPr>
          <w:rFonts w:ascii="Arial" w:cs="Arial" w:eastAsia="Arial" w:hAnsi="Arial"/>
          <w:sz w:val="21"/>
          <w:szCs w:val="21"/>
          <w:b w:val="1"/>
          <w:bCs w:val="1"/>
          <w:u w:val="single" w:color="auto"/>
          <w:color w:val="3C3C3C"/>
        </w:rPr>
        <w:t>Third Party Beneficiaries</w:t>
      </w:r>
      <w:r>
        <w:rPr>
          <w:rFonts w:ascii="Arial" w:cs="Arial" w:eastAsia="Arial" w:hAnsi="Arial"/>
          <w:sz w:val="21"/>
          <w:szCs w:val="21"/>
          <w:b w:val="1"/>
          <w:bCs w:val="1"/>
          <w:color w:val="3C3C3C"/>
        </w:rPr>
        <w:t xml:space="preserve">. </w:t>
      </w:r>
      <w:r>
        <w:rPr>
          <w:rFonts w:ascii="Arial" w:cs="Arial" w:eastAsia="Arial" w:hAnsi="Arial"/>
          <w:sz w:val="21"/>
          <w:szCs w:val="21"/>
          <w:color w:val="3C3C3C"/>
        </w:rPr>
        <w:t>Except as otherwise expressly provided herein to the contrary, this Agreement shall</w:t>
      </w:r>
      <w:r>
        <w:rPr>
          <w:rFonts w:ascii="Arial" w:cs="Arial" w:eastAsia="Arial" w:hAnsi="Arial"/>
          <w:sz w:val="21"/>
          <w:szCs w:val="21"/>
          <w:b w:val="1"/>
          <w:bCs w:val="1"/>
          <w:color w:val="3C3C3C"/>
        </w:rPr>
        <w:t xml:space="preserve"> </w:t>
      </w:r>
      <w:r>
        <w:rPr>
          <w:rFonts w:ascii="Arial" w:cs="Arial" w:eastAsia="Arial" w:hAnsi="Arial"/>
          <w:sz w:val="21"/>
          <w:szCs w:val="21"/>
          <w:color w:val="3C3C3C"/>
        </w:rPr>
        <w:t xml:space="preserve">be binding upon and inure solely to the benefit of the Parties hereto, and their permitted successors and assigns, and nothing herein is intended to or shall confer upon any other Person </w:t>
      </w:r>
      <w:r>
        <w:rPr>
          <w:rFonts w:ascii="Arial" w:cs="Arial" w:eastAsia="Arial" w:hAnsi="Arial"/>
          <w:sz w:val="21"/>
          <w:szCs w:val="21"/>
          <w:color w:val="393939"/>
        </w:rPr>
        <w:t>any legal or equitable right, benefit or remedy of any nature whatsoever under or</w:t>
      </w:r>
      <w:r>
        <w:rPr>
          <w:rFonts w:ascii="Arial" w:cs="Arial" w:eastAsia="Arial" w:hAnsi="Arial"/>
          <w:sz w:val="21"/>
          <w:szCs w:val="21"/>
          <w:color w:val="3C3C3C"/>
        </w:rPr>
        <w:t xml:space="preserve"> </w:t>
      </w:r>
      <w:r>
        <w:rPr>
          <w:rFonts w:ascii="Arial" w:cs="Arial" w:eastAsia="Arial" w:hAnsi="Arial"/>
          <w:sz w:val="21"/>
          <w:szCs w:val="21"/>
          <w:color w:val="393939"/>
        </w:rPr>
        <w:t>by reason of this Agreement.</w:t>
      </w:r>
    </w:p>
    <w:p>
      <w:pPr>
        <w:sectPr>
          <w:pgSz w:w="11900" w:h="16838" w:orient="portrait"/>
          <w:cols w:equalWidth="0" w:num="1">
            <w:col w:w="11140"/>
          </w:cols>
          <w:pgMar w:left="320" w:top="138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Page | 20</w:t>
      </w:r>
    </w:p>
    <w:p>
      <w:pPr>
        <w:sectPr>
          <w:pgSz w:w="11900" w:h="16838" w:orient="portrait"/>
          <w:cols w:equalWidth="0" w:num="1">
            <w:col w:w="11140"/>
          </w:cols>
          <w:pgMar w:left="320" w:top="1389" w:right="439" w:bottom="1440" w:gutter="0" w:footer="0" w:header="0"/>
          <w:type w:val="continuous"/>
        </w:sectPr>
      </w:pPr>
    </w:p>
    <w:bookmarkStart w:id="53" w:name="page54"/>
    <w:bookmarkEnd w:id="53"/>
    <w:p>
      <w:pPr>
        <w:jc w:val="both"/>
        <w:ind w:right="20" w:firstLine="647"/>
        <w:spacing w:after="0" w:line="253" w:lineRule="auto"/>
        <w:rPr>
          <w:sz w:val="20"/>
          <w:szCs w:val="20"/>
          <w:color w:val="auto"/>
        </w:rPr>
      </w:pPr>
      <w:r>
        <w:rPr>
          <w:rFonts w:ascii="Arial" w:cs="Arial" w:eastAsia="Arial" w:hAnsi="Arial"/>
          <w:sz w:val="20"/>
          <w:szCs w:val="20"/>
          <w:b w:val="1"/>
          <w:bCs w:val="1"/>
          <w:color w:val="393939"/>
        </w:rPr>
        <w:t xml:space="preserve">Section 15.9 </w:t>
      </w:r>
      <w:r>
        <w:rPr>
          <w:rFonts w:ascii="Arial" w:cs="Arial" w:eastAsia="Arial" w:hAnsi="Arial"/>
          <w:sz w:val="20"/>
          <w:szCs w:val="20"/>
          <w:b w:val="1"/>
          <w:bCs w:val="1"/>
          <w:u w:val="single" w:color="auto"/>
          <w:color w:val="393939"/>
        </w:rPr>
        <w:t>Counterparts</w:t>
      </w:r>
      <w:r>
        <w:rPr>
          <w:rFonts w:ascii="Arial" w:cs="Arial" w:eastAsia="Arial" w:hAnsi="Arial"/>
          <w:sz w:val="20"/>
          <w:szCs w:val="20"/>
          <w:b w:val="1"/>
          <w:bCs w:val="1"/>
          <w:color w:val="393939"/>
        </w:rPr>
        <w:t xml:space="preserve">. </w:t>
      </w:r>
      <w:r>
        <w:rPr>
          <w:rFonts w:ascii="Arial" w:cs="Arial" w:eastAsia="Arial" w:hAnsi="Arial"/>
          <w:sz w:val="20"/>
          <w:szCs w:val="20"/>
          <w:color w:val="393939"/>
        </w:rPr>
        <w:t>This Agreement may be executed in two (2) or more counterparts (including by facsimile), each</w:t>
      </w:r>
      <w:r>
        <w:rPr>
          <w:rFonts w:ascii="Arial" w:cs="Arial" w:eastAsia="Arial" w:hAnsi="Arial"/>
          <w:sz w:val="20"/>
          <w:szCs w:val="20"/>
          <w:b w:val="1"/>
          <w:bCs w:val="1"/>
          <w:color w:val="393939"/>
        </w:rPr>
        <w:t xml:space="preserve"> </w:t>
      </w:r>
      <w:r>
        <w:rPr>
          <w:rFonts w:ascii="Arial" w:cs="Arial" w:eastAsia="Arial" w:hAnsi="Arial"/>
          <w:sz w:val="20"/>
          <w:szCs w:val="20"/>
          <w:color w:val="393939"/>
        </w:rPr>
        <w:t>of which shall be deemed an original, but all of which together shall constitute one and the same instrument.</w:t>
      </w:r>
    </w:p>
    <w:p>
      <w:pPr>
        <w:spacing w:after="0" w:line="163" w:lineRule="exact"/>
        <w:rPr>
          <w:sz w:val="20"/>
          <w:szCs w:val="20"/>
          <w:color w:val="auto"/>
        </w:rPr>
      </w:pPr>
    </w:p>
    <w:p>
      <w:pPr>
        <w:jc w:val="both"/>
        <w:ind w:firstLine="647"/>
        <w:spacing w:after="0" w:line="233" w:lineRule="auto"/>
        <w:rPr>
          <w:sz w:val="20"/>
          <w:szCs w:val="20"/>
          <w:color w:val="auto"/>
        </w:rPr>
      </w:pPr>
      <w:r>
        <w:rPr>
          <w:rFonts w:ascii="Arial" w:cs="Arial" w:eastAsia="Arial" w:hAnsi="Arial"/>
          <w:sz w:val="19"/>
          <w:szCs w:val="19"/>
          <w:b w:val="1"/>
          <w:bCs w:val="1"/>
          <w:color w:val="393939"/>
        </w:rPr>
        <w:t xml:space="preserve">Section I5.10 </w:t>
      </w:r>
      <w:r>
        <w:rPr>
          <w:rFonts w:ascii="Arial" w:cs="Arial" w:eastAsia="Arial" w:hAnsi="Arial"/>
          <w:sz w:val="19"/>
          <w:szCs w:val="19"/>
          <w:b w:val="1"/>
          <w:bCs w:val="1"/>
          <w:u w:val="single" w:color="auto"/>
          <w:color w:val="393939"/>
        </w:rPr>
        <w:t>Business Continuity</w:t>
      </w:r>
      <w:r>
        <w:rPr>
          <w:rFonts w:ascii="Arial" w:cs="Arial" w:eastAsia="Arial" w:hAnsi="Arial"/>
          <w:sz w:val="19"/>
          <w:szCs w:val="19"/>
          <w:color w:val="393939"/>
        </w:rPr>
        <w:t>. Each of the Parties shall establish and maintain commercially reasonable contingency</w:t>
      </w:r>
      <w:r>
        <w:rPr>
          <w:rFonts w:ascii="Arial" w:cs="Arial" w:eastAsia="Arial" w:hAnsi="Arial"/>
          <w:sz w:val="19"/>
          <w:szCs w:val="19"/>
          <w:b w:val="1"/>
          <w:bCs w:val="1"/>
          <w:color w:val="393939"/>
        </w:rPr>
        <w:t xml:space="preserve"> </w:t>
      </w:r>
      <w:r>
        <w:rPr>
          <w:rFonts w:ascii="Arial" w:cs="Arial" w:eastAsia="Arial" w:hAnsi="Arial"/>
          <w:sz w:val="19"/>
          <w:szCs w:val="19"/>
          <w:color w:val="393939"/>
        </w:rPr>
        <w:t>plans, recovery plans and risk controls to plan for its continued performance under this Agreement. The plans must be in place and delivered to the other Party [***] after the Effective Date and on each anniversary date of such Effective Date thereafter. If either Party objects in writing to any provision of such plans and controls, the non-objecting Party shall respond to the objecting Party in writing within [***] after such objection explaining, among other matters, the matters the non-objecting Party wishes to include in its response and the actions it intends to take, if any, to attempt to appease the objecting Party's objection(s). Each Party agrees to provide the other, not less than [***] prior to the consummation thereof, notice of any Change of Control.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393939"/>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 21</w:t>
      </w:r>
    </w:p>
    <w:p>
      <w:pPr>
        <w:sectPr>
          <w:pgSz w:w="11900" w:h="16838" w:orient="portrait"/>
          <w:cols w:equalWidth="0" w:num="1">
            <w:col w:w="11040"/>
          </w:cols>
          <w:pgMar w:left="420" w:top="1308" w:right="439" w:bottom="1440" w:gutter="0" w:footer="0" w:header="0"/>
        </w:sectPr>
      </w:pPr>
    </w:p>
    <w:bookmarkStart w:id="54" w:name="page55"/>
    <w:bookmarkEnd w:id="54"/>
    <w:p>
      <w:pPr>
        <w:ind w:firstLine="647"/>
        <w:spacing w:after="0" w:line="234" w:lineRule="auto"/>
        <w:rPr>
          <w:sz w:val="20"/>
          <w:szCs w:val="20"/>
          <w:color w:val="auto"/>
        </w:rPr>
      </w:pPr>
      <w:r>
        <w:rPr>
          <w:rFonts w:ascii="Arial" w:cs="Arial" w:eastAsia="Arial" w:hAnsi="Arial"/>
          <w:sz w:val="21"/>
          <w:szCs w:val="21"/>
          <w:b w:val="1"/>
          <w:bCs w:val="1"/>
          <w:color w:val="3B3B3B"/>
        </w:rPr>
        <w:t>IN WITNESS WHEREOF</w:t>
      </w:r>
      <w:r>
        <w:rPr>
          <w:rFonts w:ascii="Arial" w:cs="Arial" w:eastAsia="Arial" w:hAnsi="Arial"/>
          <w:sz w:val="21"/>
          <w:szCs w:val="21"/>
          <w:color w:val="3B3B3B"/>
        </w:rPr>
        <w:t>, the Parties hereto by their respective duly authorized representatives have executed this</w:t>
      </w:r>
      <w:r>
        <w:rPr>
          <w:rFonts w:ascii="Arial" w:cs="Arial" w:eastAsia="Arial" w:hAnsi="Arial"/>
          <w:sz w:val="21"/>
          <w:szCs w:val="21"/>
          <w:b w:val="1"/>
          <w:bCs w:val="1"/>
          <w:color w:val="3B3B3B"/>
        </w:rPr>
        <w:t xml:space="preserve"> </w:t>
      </w:r>
      <w:r>
        <w:rPr>
          <w:rFonts w:ascii="Arial" w:cs="Arial" w:eastAsia="Arial" w:hAnsi="Arial"/>
          <w:sz w:val="21"/>
          <w:szCs w:val="21"/>
          <w:color w:val="3B3B3B"/>
        </w:rPr>
        <w:t>Agreement as of the Effective Date.</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700" w:type="dxa"/>
            <w:vAlign w:val="bottom"/>
          </w:tcPr>
          <w:p>
            <w:pPr>
              <w:ind w:left="20"/>
              <w:spacing w:after="0"/>
              <w:rPr>
                <w:sz w:val="20"/>
                <w:szCs w:val="20"/>
                <w:color w:val="auto"/>
              </w:rPr>
            </w:pPr>
            <w:r>
              <w:rPr>
                <w:rFonts w:ascii="Arial" w:cs="Arial" w:eastAsia="Arial" w:hAnsi="Arial"/>
                <w:sz w:val="21"/>
                <w:szCs w:val="21"/>
                <w:b w:val="1"/>
                <w:bCs w:val="1"/>
                <w:color w:val="3B3B3B"/>
              </w:rPr>
              <w:t>Arch:</w:t>
            </w:r>
          </w:p>
        </w:tc>
        <w:tc>
          <w:tcPr>
            <w:tcW w:w="6680" w:type="dxa"/>
            <w:vAlign w:val="bottom"/>
            <w:gridSpan w:val="3"/>
          </w:tcPr>
          <w:p>
            <w:pPr>
              <w:ind w:left="40"/>
              <w:spacing w:after="0"/>
              <w:rPr>
                <w:sz w:val="20"/>
                <w:szCs w:val="20"/>
                <w:color w:val="auto"/>
              </w:rPr>
            </w:pPr>
            <w:r>
              <w:rPr>
                <w:rFonts w:ascii="Arial" w:cs="Arial" w:eastAsia="Arial" w:hAnsi="Arial"/>
                <w:sz w:val="21"/>
                <w:szCs w:val="21"/>
                <w:b w:val="1"/>
                <w:bCs w:val="1"/>
                <w:color w:val="3B3B3B"/>
              </w:rPr>
              <w:t>Lenders Protection:</w:t>
            </w:r>
          </w:p>
        </w:tc>
      </w:tr>
      <w:tr>
        <w:trPr>
          <w:trHeight w:val="526"/>
        </w:trPr>
        <w:tc>
          <w:tcPr>
            <w:tcW w:w="7380" w:type="dxa"/>
            <w:vAlign w:val="bottom"/>
            <w:gridSpan w:val="4"/>
          </w:tcPr>
          <w:p>
            <w:pPr>
              <w:ind w:left="20"/>
              <w:spacing w:after="0"/>
              <w:rPr>
                <w:sz w:val="20"/>
                <w:szCs w:val="20"/>
                <w:color w:val="auto"/>
              </w:rPr>
            </w:pPr>
            <w:r>
              <w:rPr>
                <w:rFonts w:ascii="Arial" w:cs="Arial" w:eastAsia="Arial" w:hAnsi="Arial"/>
                <w:sz w:val="21"/>
                <w:szCs w:val="21"/>
                <w:b w:val="1"/>
                <w:bCs w:val="1"/>
                <w:color w:val="3B3B3B"/>
                <w:w w:val="99"/>
              </w:rPr>
              <w:t>ARCH SPECIALTY INSURANCE COMPANY  LENDERS PROTECTION, LLC</w:t>
            </w:r>
          </w:p>
        </w:tc>
      </w:tr>
      <w:tr>
        <w:trPr>
          <w:trHeight w:val="235"/>
        </w:trPr>
        <w:tc>
          <w:tcPr>
            <w:tcW w:w="1540" w:type="dxa"/>
            <w:vAlign w:val="bottom"/>
            <w:gridSpan w:val="3"/>
          </w:tcPr>
          <w:p>
            <w:pPr>
              <w:ind w:left="20"/>
              <w:spacing w:after="0" w:line="235" w:lineRule="exact"/>
              <w:rPr>
                <w:sz w:val="20"/>
                <w:szCs w:val="20"/>
                <w:color w:val="auto"/>
              </w:rPr>
            </w:pPr>
            <w:r>
              <w:rPr>
                <w:rFonts w:ascii="Arial" w:cs="Arial" w:eastAsia="Arial" w:hAnsi="Arial"/>
                <w:sz w:val="21"/>
                <w:szCs w:val="21"/>
                <w:color w:val="3B3B3B"/>
              </w:rPr>
              <w:t>Signed: [***]</w:t>
            </w:r>
          </w:p>
        </w:tc>
        <w:tc>
          <w:tcPr>
            <w:tcW w:w="5840" w:type="dxa"/>
            <w:vAlign w:val="bottom"/>
          </w:tcPr>
          <w:p>
            <w:pPr>
              <w:ind w:left="20"/>
              <w:spacing w:after="0" w:line="235" w:lineRule="exact"/>
              <w:rPr>
                <w:sz w:val="20"/>
                <w:szCs w:val="20"/>
                <w:color w:val="auto"/>
              </w:rPr>
            </w:pPr>
            <w:r>
              <w:rPr>
                <w:rFonts w:ascii="Arial" w:cs="Arial" w:eastAsia="Arial" w:hAnsi="Arial"/>
                <w:sz w:val="21"/>
                <w:szCs w:val="21"/>
                <w:color w:val="3B3B3B"/>
              </w:rPr>
              <w:t>Signed: [***]</w:t>
            </w: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3B3B3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555"/>
        </w:trPr>
        <w:tc>
          <w:tcPr>
            <w:tcW w:w="1540" w:type="dxa"/>
            <w:vAlign w:val="bottom"/>
            <w:gridSpan w:val="3"/>
          </w:tcPr>
          <w:p>
            <w:pPr>
              <w:ind w:left="20"/>
              <w:spacing w:after="0"/>
              <w:rPr>
                <w:sz w:val="20"/>
                <w:szCs w:val="20"/>
                <w:color w:val="auto"/>
              </w:rPr>
            </w:pPr>
            <w:r>
              <w:rPr>
                <w:rFonts w:ascii="Arial" w:cs="Arial" w:eastAsia="Arial" w:hAnsi="Arial"/>
                <w:sz w:val="21"/>
                <w:szCs w:val="21"/>
                <w:color w:val="3B3B3B"/>
                <w:w w:val="98"/>
              </w:rPr>
              <w:t>Print Name: [***]</w:t>
            </w:r>
          </w:p>
        </w:tc>
        <w:tc>
          <w:tcPr>
            <w:tcW w:w="5840" w:type="dxa"/>
            <w:vAlign w:val="bottom"/>
          </w:tcPr>
          <w:p>
            <w:pPr>
              <w:ind w:left="180"/>
              <w:spacing w:after="0"/>
              <w:rPr>
                <w:sz w:val="20"/>
                <w:szCs w:val="20"/>
                <w:color w:val="auto"/>
              </w:rPr>
            </w:pPr>
            <w:r>
              <w:rPr>
                <w:rFonts w:ascii="Arial" w:cs="Arial" w:eastAsia="Arial" w:hAnsi="Arial"/>
                <w:sz w:val="21"/>
                <w:szCs w:val="21"/>
                <w:color w:val="3B3B3B"/>
              </w:rPr>
              <w:t>Print Name: [***]</w:t>
            </w:r>
          </w:p>
        </w:tc>
      </w:tr>
      <w:tr>
        <w:trPr>
          <w:trHeight w:val="459"/>
        </w:trPr>
        <w:tc>
          <w:tcPr>
            <w:tcW w:w="7380" w:type="dxa"/>
            <w:vAlign w:val="bottom"/>
            <w:gridSpan w:val="4"/>
          </w:tcPr>
          <w:p>
            <w:pPr>
              <w:ind w:left="20"/>
              <w:spacing w:after="0"/>
              <w:rPr>
                <w:sz w:val="20"/>
                <w:szCs w:val="20"/>
                <w:color w:val="auto"/>
              </w:rPr>
            </w:pPr>
            <w:r>
              <w:rPr>
                <w:rFonts w:ascii="Arial" w:cs="Arial" w:eastAsia="Arial" w:hAnsi="Arial"/>
                <w:sz w:val="21"/>
                <w:szCs w:val="21"/>
                <w:color w:val="3B3B3B"/>
              </w:rPr>
              <w:t>Title: [***]  Title: [***]</w:t>
            </w:r>
          </w:p>
        </w:tc>
      </w:tr>
      <w:tr>
        <w:trPr>
          <w:trHeight w:val="391"/>
        </w:trPr>
        <w:tc>
          <w:tcPr>
            <w:tcW w:w="700" w:type="dxa"/>
            <w:vAlign w:val="bottom"/>
          </w:tcPr>
          <w:p>
            <w:pPr>
              <w:spacing w:after="0"/>
              <w:rPr>
                <w:sz w:val="20"/>
                <w:szCs w:val="20"/>
                <w:color w:val="auto"/>
              </w:rPr>
            </w:pPr>
            <w:r>
              <w:rPr>
                <w:rFonts w:ascii="Arial" w:cs="Arial" w:eastAsia="Arial" w:hAnsi="Arial"/>
                <w:sz w:val="16"/>
                <w:szCs w:val="16"/>
                <w:color w:val="auto"/>
              </w:rPr>
              <w:t>5/2/2022</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5/2/2022</w:t>
            </w:r>
          </w:p>
        </w:tc>
        <w:tc>
          <w:tcPr>
            <w:tcW w:w="5840" w:type="dxa"/>
            <w:vAlign w:val="bottom"/>
          </w:tcPr>
          <w:p>
            <w:pPr>
              <w:spacing w:after="0"/>
              <w:rPr>
                <w:sz w:val="24"/>
                <w:szCs w:val="24"/>
                <w:color w:val="auto"/>
              </w:rPr>
            </w:pPr>
          </w:p>
        </w:tc>
      </w:tr>
    </w:tbl>
    <w:p>
      <w:pPr>
        <w:sectPr>
          <w:pgSz w:w="11900" w:h="16838" w:orient="portrait"/>
          <w:cols w:equalWidth="0" w:num="1">
            <w:col w:w="10340"/>
          </w:cols>
          <w:pgMar w:left="420" w:top="1389" w:right="11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Flynn, certify that:</w:t>
      </w:r>
    </w:p>
    <w:p>
      <w:pPr>
        <w:spacing w:after="0" w:line="117" w:lineRule="exact"/>
        <w:rPr>
          <w:sz w:val="20"/>
          <w:szCs w:val="20"/>
          <w:color w:val="auto"/>
        </w:rPr>
      </w:pPr>
    </w:p>
    <w:p>
      <w:pPr>
        <w:ind w:left="980" w:hanging="48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40" w:hanging="480"/>
        <w:spacing w:after="0" w:line="263" w:lineRule="auto"/>
        <w:tabs>
          <w:tab w:leader="none" w:pos="14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August 5,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Jehl, certify that:</w:t>
      </w:r>
    </w:p>
    <w:p>
      <w:pPr>
        <w:spacing w:after="0" w:line="117" w:lineRule="exact"/>
        <w:rPr>
          <w:sz w:val="20"/>
          <w:szCs w:val="20"/>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380" w:hanging="480"/>
        <w:spacing w:after="0" w:line="263" w:lineRule="auto"/>
        <w:tabs>
          <w:tab w:leader="none" w:pos="14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August 5,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June 30, 2022 of Open Lending Corporation, a Delaware corporation (the “Company”), as filed with the Securities and Exchange Commission on the date hereof (the “Form 10-Q”), I, John Flynn,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Form 10-Q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John J. Flynn</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6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August 5, 2022</w:t>
      </w:r>
    </w:p>
    <w:p>
      <w:pPr>
        <w:sectPr>
          <w:pgSz w:w="11900" w:h="16838" w:orient="portrait"/>
          <w:cols w:equalWidth="0" w:num="1">
            <w:col w:w="11240"/>
          </w:cols>
          <w:pgMar w:left="320" w:top="110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June 30, 2022 of Open Lending Corporation, a Delaware corporation (the “Company”), as filed with the Securities and Exchange Commission on the date hereof (the “Form 10-Q”), I, Charles Jehl, Chief Financial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Form 10-Q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6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August 5, 2022</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Ø"/>
      <w:numFmt w:val="bullet"/>
      <w:start w:val="1"/>
    </w:lvl>
  </w:abstractNum>
  <w:abstractNum w:abstractNumId="7">
    <w:nsid w:val="2CA88611"/>
    <w:multiLevelType w:val="hybridMultilevel"/>
    <w:lvl w:ilvl="0">
      <w:lvlJc w:val="left"/>
      <w:lvlText w:val="ØØ"/>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lowerLetter"/>
      <w:start w:val="3"/>
    </w:lvl>
  </w:abstractNum>
  <w:abstractNum w:abstractNumId="12">
    <w:nsid w:val="1E7FF521"/>
    <w:multiLevelType w:val="hybridMultilevel"/>
    <w:lvl w:ilvl="0">
      <w:lvlJc w:val="left"/>
      <w:lvlText w:val="(%1)"/>
      <w:numFmt w:val="lowerLetter"/>
      <w:start w:val="13"/>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3"/>
    </w:lvl>
  </w:abstractNum>
  <w:abstractNum w:abstractNumId="16">
    <w:nsid w:val="22221A70"/>
    <w:multiLevelType w:val="hybridMultilevel"/>
    <w:lvl w:ilvl="0">
      <w:lvlJc w:val="left"/>
      <w:lvlText w:val="[***]"/>
      <w:numFmt w:val="bullet"/>
      <w:start w:val="1"/>
    </w:lvl>
    <w:lvl w:ilvl="1">
      <w:lvlJc w:val="left"/>
      <w:lvlText w:val="(%2)"/>
      <w:numFmt w:val="lowerLetter"/>
      <w:start w:val="4"/>
    </w:lvl>
  </w:abstractNum>
  <w:abstractNum w:abstractNumId="17">
    <w:nsid w:val="4516DDE9"/>
    <w:multiLevelType w:val="hybridMultilevel"/>
    <w:lvl w:ilvl="0">
      <w:lvlJc w:val="left"/>
      <w:lvlText w:val="(%1)"/>
      <w:numFmt w:val="lowerLetter"/>
      <w:start w:val="6"/>
    </w:lvl>
    <w:lvl w:ilvl="1">
      <w:lvlJc w:val="left"/>
      <w:lvlText w:val="(%2)"/>
      <w:numFmt w:val="lowerRoman"/>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
    <w:nsid w:val="419AC24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1">
    <w:nsid w:val="5577F8E1"/>
    <w:multiLevelType w:val="hybridMultilevel"/>
    <w:lvl w:ilvl="0">
      <w:lvlJc w:val="left"/>
      <w:lvlText w:val="%1"/>
      <w:numFmt w:val="lowerLetter"/>
      <w:start w:val="1"/>
    </w:lvl>
    <w:lvl w:ilvl="1">
      <w:lvlJc w:val="left"/>
      <w:lvlText w:val="(%2)"/>
      <w:numFmt w:val="lowerRoman"/>
      <w:start w:val="2"/>
    </w:lvl>
  </w:abstractNum>
  <w:abstractNum w:abstractNumId="22">
    <w:nsid w:val="440BADFC"/>
    <w:multiLevelType w:val="hybridMultilevel"/>
    <w:lvl w:ilvl="0">
      <w:lvlJc w:val="left"/>
      <w:lvlText w:val="(%1)"/>
      <w:numFmt w:val="lowerLetter"/>
      <w:start w:val="3"/>
    </w:lvl>
    <w:lvl w:ilvl="1">
      <w:lvlJc w:val="left"/>
      <w:lvlText w:val="%2"/>
      <w:numFmt w:val="lowerRoman"/>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25"/>
    </w:lvl>
  </w:abstractNum>
  <w:abstractNum w:abstractNumId="26">
    <w:nsid w:val="7724C67E"/>
    <w:multiLevelType w:val="hybridMultilevel"/>
    <w:lvl w:ilvl="0">
      <w:lvlJc w:val="left"/>
      <w:lvlText w:val="(%1)"/>
      <w:numFmt w:val="lowerLetter"/>
      <w:start w:val="2"/>
    </w:lvl>
  </w:abstractNum>
  <w:abstractNum w:abstractNumId="27">
    <w:nsid w:val="5C482A97"/>
    <w:multiLevelType w:val="hybridMultilevel"/>
    <w:lvl w:ilvl="0">
      <w:lvlJc w:val="left"/>
      <w:lvlText w:val="(%1)"/>
      <w:numFmt w:val="lowerLetter"/>
      <w:start w:val="2"/>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3"/>
    </w:lvl>
  </w:abstractNum>
  <w:abstractNum w:abstractNumId="31">
    <w:nsid w:val="2D517796"/>
    <w:multiLevelType w:val="hybridMultilevel"/>
    <w:lvl w:ilvl="0">
      <w:lvlJc w:val="left"/>
      <w:lvlText w:val="(%1)"/>
      <w:numFmt w:val="lowerLetter"/>
      <w:start w:val="4"/>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7"/>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2"/>
      <w:numFmt w:val="bullet"/>
      <w:start w:val="1"/>
    </w:lvl>
  </w:abstractNum>
  <w:abstractNum w:abstractNumId="38">
    <w:nsid w:val="1D4ED43B"/>
    <w:multiLevelType w:val="hybridMultilevel"/>
    <w:lvl w:ilvl="0">
      <w:lvlJc w:val="left"/>
      <w:lvlText w:val="3"/>
      <w:numFmt w:val="bullet"/>
      <w:start w:val="1"/>
    </w:lvl>
  </w:abstractNum>
  <w:abstractNum w:abstractNumId="39">
    <w:nsid w:val="725A06FB"/>
    <w:multiLevelType w:val="hybridMultilevel"/>
    <w:lvl w:ilvl="0">
      <w:lvlJc w:val="left"/>
      <w:lvlText w:val="4"/>
      <w:numFmt w:val="bullet"/>
      <w:start w:val="1"/>
    </w:lvl>
    <w:lvl w:ilvl="1">
      <w:lvlJc w:val="left"/>
      <w:lvlText w:val="%2)"/>
      <w:numFmt w:val="lowerLetter"/>
      <w:start w:val="1"/>
    </w:lvl>
  </w:abstractNum>
  <w:abstractNum w:abstractNumId="40">
    <w:nsid w:val="2CD89A32"/>
    <w:multiLevelType w:val="hybridMultilevel"/>
    <w:lvl w:ilvl="0">
      <w:lvlJc w:val="left"/>
      <w:lvlText w:val="5"/>
      <w:numFmt w:val="bullet"/>
      <w:start w:val="1"/>
    </w:lvl>
    <w:lvl w:ilvl="1">
      <w:lvlJc w:val="left"/>
      <w:lvlText w:val="%2)"/>
      <w:numFmt w:val="lowerLetter"/>
      <w:start w:val="1"/>
    </w:lvl>
  </w:abstractNum>
  <w:abstractNum w:abstractNumId="41">
    <w:nsid w:val="57E4CCAF"/>
    <w:multiLevelType w:val="hybridMultilevel"/>
    <w:lvl w:ilvl="0">
      <w:lvlJc w:val="left"/>
      <w:lvlText w:val="1"/>
      <w:numFmt w:val="bullet"/>
      <w:start w:val="1"/>
    </w:lvl>
  </w:abstractNum>
  <w:abstractNum w:abstractNumId="42">
    <w:nsid w:val="7A6D8D3C"/>
    <w:multiLevelType w:val="hybridMultilevel"/>
    <w:lvl w:ilvl="0">
      <w:lvlJc w:val="left"/>
      <w:lvlText w:val="2"/>
      <w:numFmt w:val="bullet"/>
      <w:start w:val="1"/>
    </w:lvl>
  </w:abstractNum>
  <w:abstractNum w:abstractNumId="43">
    <w:nsid w:val="4B588F54"/>
    <w:multiLevelType w:val="hybridMultilevel"/>
    <w:lvl w:ilvl="0">
      <w:lvlJc w:val="left"/>
      <w:lvlText w:val="3"/>
      <w:numFmt w:val="bullet"/>
      <w:start w:val="1"/>
    </w:lvl>
  </w:abstractNum>
  <w:abstractNum w:abstractNumId="44">
    <w:nsid w:val="542289EC"/>
    <w:multiLevelType w:val="hybridMultilevel"/>
    <w:lvl w:ilvl="0">
      <w:lvlJc w:val="left"/>
      <w:lvlText w:val="4"/>
      <w:numFmt w:val="bullet"/>
      <w:start w:val="1"/>
    </w:lvl>
    <w:lvl w:ilvl="1">
      <w:lvlJc w:val="left"/>
      <w:lvlText w:val="%2)"/>
      <w:numFmt w:val="lowerLetter"/>
      <w:start w:val="1"/>
    </w:lvl>
  </w:abstractNum>
  <w:abstractNum w:abstractNumId="45">
    <w:nsid w:val="6DE91B18"/>
    <w:multiLevelType w:val="hybridMultilevel"/>
    <w:lvl w:ilvl="0">
      <w:lvlJc w:val="left"/>
      <w:lvlText w:val="5"/>
      <w:numFmt w:val="bullet"/>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2022-08-05T15:26:23Z</dcterms:created>
  <dcterms:modified xsi:type="dcterms:W3CDTF">2022-08-05T15:26:23Z</dcterms:modified>
</cp:coreProperties>
</file>