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4" w:lineRule="exact"/>
        <w:rPr>
          <w:sz w:val="24"/>
          <w:szCs w:val="24"/>
          <w:color w:val="auto"/>
        </w:rPr>
      </w:pPr>
    </w:p>
    <w:p>
      <w:pPr>
        <w:ind w:left="460" w:right="240" w:hanging="434"/>
        <w:spacing w:after="0" w:line="247"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1"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For the transition period from ______________ to ______________</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001-39326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128905</wp:posOffset>
            </wp:positionV>
            <wp:extent cx="2143125" cy="334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3340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OPEN LENDING CORPORATION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77" w:lineRule="exact"/>
        <w:rPr>
          <w:sz w:val="24"/>
          <w:szCs w:val="24"/>
          <w:color w:val="auto"/>
        </w:rPr>
      </w:pPr>
    </w:p>
    <w:tbl>
      <w:tblPr>
        <w:tblLayout w:type="fixed"/>
        <w:tblInd w:w="1460" w:type="dxa"/>
        <w:tblCellMar>
          <w:top w:w="0" w:type="dxa"/>
          <w:left w:w="0" w:type="dxa"/>
          <w:bottom w:w="0" w:type="dxa"/>
          <w:right w:w="0" w:type="dxa"/>
        </w:tblCellMar>
      </w:tblPr>
      <w:tr>
        <w:trPr>
          <w:trHeight w:val="23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rPr>
              <w:t>Delaware</w:t>
            </w:r>
          </w:p>
        </w:tc>
        <w:tc>
          <w:tcPr>
            <w:tcW w:w="3040" w:type="dxa"/>
            <w:vAlign w:val="bottom"/>
          </w:tcPr>
          <w:p>
            <w:pPr>
              <w:jc w:val="right"/>
              <w:ind w:right="41"/>
              <w:spacing w:after="0"/>
              <w:rPr>
                <w:sz w:val="20"/>
                <w:szCs w:val="20"/>
                <w:color w:val="auto"/>
              </w:rPr>
            </w:pPr>
            <w:r>
              <w:rPr>
                <w:rFonts w:ascii="Arial" w:cs="Arial" w:eastAsia="Arial" w:hAnsi="Arial"/>
                <w:sz w:val="18"/>
                <w:szCs w:val="18"/>
                <w:b w:val="1"/>
                <w:bCs w:val="1"/>
                <w:color w:val="auto"/>
              </w:rPr>
              <w:t>84-5031428</w:t>
            </w:r>
          </w:p>
        </w:tc>
        <w:tc>
          <w:tcPr>
            <w:tcW w:w="0" w:type="dxa"/>
            <w:vAlign w:val="bottom"/>
          </w:tcPr>
          <w:p>
            <w:pPr>
              <w:spacing w:after="0"/>
              <w:rPr>
                <w:sz w:val="1"/>
                <w:szCs w:val="1"/>
                <w:color w:val="auto"/>
              </w:rPr>
            </w:pPr>
          </w:p>
        </w:tc>
      </w:tr>
      <w:tr>
        <w:trPr>
          <w:trHeight w:val="149"/>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41"/>
              <w:spacing w:after="0" w:line="149" w:lineRule="exact"/>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258"/>
        </w:trPr>
        <w:tc>
          <w:tcPr>
            <w:tcW w:w="4500" w:type="dxa"/>
            <w:vAlign w:val="bottom"/>
          </w:tcPr>
          <w:p>
            <w:pPr>
              <w:jc w:val="center"/>
              <w:ind w:right="1718"/>
              <w:spacing w:after="0"/>
              <w:rPr>
                <w:sz w:val="20"/>
                <w:szCs w:val="20"/>
                <w:color w:val="auto"/>
              </w:rPr>
            </w:pPr>
            <w:r>
              <w:rPr>
                <w:rFonts w:ascii="Arial" w:cs="Arial" w:eastAsia="Arial" w:hAnsi="Arial"/>
                <w:sz w:val="18"/>
                <w:szCs w:val="18"/>
                <w:b w:val="1"/>
                <w:bCs w:val="1"/>
                <w:color w:val="auto"/>
                <w:w w:val="99"/>
              </w:rPr>
              <w:t>1501 S. MoPac Expressway</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500" w:type="dxa"/>
            <w:vAlign w:val="bottom"/>
          </w:tcPr>
          <w:p>
            <w:pPr>
              <w:jc w:val="center"/>
              <w:ind w:right="1738"/>
              <w:spacing w:after="0" w:line="183" w:lineRule="exact"/>
              <w:rPr>
                <w:sz w:val="20"/>
                <w:szCs w:val="20"/>
                <w:color w:val="auto"/>
              </w:rPr>
            </w:pPr>
            <w:r>
              <w:rPr>
                <w:rFonts w:ascii="Arial" w:cs="Arial" w:eastAsia="Arial" w:hAnsi="Arial"/>
                <w:sz w:val="18"/>
                <w:szCs w:val="18"/>
                <w:b w:val="1"/>
                <w:bCs w:val="1"/>
                <w:color w:val="auto"/>
              </w:rPr>
              <w:t>Suite 450</w:t>
            </w:r>
          </w:p>
        </w:tc>
        <w:tc>
          <w:tcPr>
            <w:tcW w:w="3040" w:type="dxa"/>
            <w:vAlign w:val="bottom"/>
            <w:vMerge w:val="restart"/>
          </w:tcPr>
          <w:p>
            <w:pPr>
              <w:jc w:val="right"/>
              <w:ind w:right="281"/>
              <w:spacing w:after="0"/>
              <w:rPr>
                <w:sz w:val="20"/>
                <w:szCs w:val="20"/>
                <w:color w:val="auto"/>
              </w:rPr>
            </w:pPr>
            <w:r>
              <w:rPr>
                <w:rFonts w:ascii="Arial" w:cs="Arial" w:eastAsia="Arial" w:hAnsi="Arial"/>
                <w:sz w:val="18"/>
                <w:szCs w:val="18"/>
                <w:b w:val="1"/>
                <w:bCs w:val="1"/>
                <w:color w:val="auto"/>
              </w:rPr>
              <w:t>78746</w:t>
            </w:r>
          </w:p>
        </w:tc>
        <w:tc>
          <w:tcPr>
            <w:tcW w:w="0" w:type="dxa"/>
            <w:vAlign w:val="bottom"/>
          </w:tcPr>
          <w:p>
            <w:pPr>
              <w:spacing w:after="0"/>
              <w:rPr>
                <w:sz w:val="1"/>
                <w:szCs w:val="1"/>
                <w:color w:val="auto"/>
              </w:rPr>
            </w:pPr>
          </w:p>
        </w:tc>
      </w:tr>
      <w:tr>
        <w:trPr>
          <w:trHeight w:val="239"/>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9"/>
              </w:rPr>
              <w:t>Austin, Texas</w:t>
            </w:r>
          </w:p>
        </w:tc>
        <w:tc>
          <w:tcPr>
            <w:tcW w:w="3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rPr>
              <w:t>(Address of principal executive offices)</w:t>
            </w:r>
          </w:p>
        </w:tc>
        <w:tc>
          <w:tcPr>
            <w:tcW w:w="3040" w:type="dxa"/>
            <w:vAlign w:val="bottom"/>
          </w:tcPr>
          <w:p>
            <w:pPr>
              <w:jc w:val="center"/>
              <w:ind w:left="17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bl>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(512) 892-0400</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40"/>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$0.01 per share</w:t>
            </w:r>
          </w:p>
        </w:tc>
        <w:tc>
          <w:tcPr>
            <w:tcW w:w="10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LPRO</w:t>
            </w:r>
          </w:p>
        </w:tc>
        <w:tc>
          <w:tcPr>
            <w:tcW w:w="10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The Nasdaq Stock Market LLC</w:t>
            </w:r>
          </w:p>
        </w:tc>
        <w:tc>
          <w:tcPr>
            <w:tcW w:w="0" w:type="dxa"/>
            <w:vAlign w:val="bottom"/>
          </w:tcPr>
          <w:p>
            <w:pPr>
              <w:spacing w:after="0"/>
              <w:rPr>
                <w:sz w:val="1"/>
                <w:szCs w:val="1"/>
                <w:color w:val="auto"/>
              </w:rPr>
            </w:pPr>
          </w:p>
        </w:tc>
      </w:tr>
    </w:tbl>
    <w:p>
      <w:pPr>
        <w:spacing w:after="0" w:line="234" w:lineRule="exact"/>
        <w:rPr>
          <w:sz w:val="24"/>
          <w:szCs w:val="24"/>
          <w:color w:val="auto"/>
        </w:rPr>
      </w:pPr>
    </w:p>
    <w:p>
      <w:pPr>
        <w:jc w:val="both"/>
        <w:ind w:firstLine="486"/>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486"/>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firstLine="48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8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6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2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3" w:lineRule="exact"/>
        <w:rPr>
          <w:sz w:val="24"/>
          <w:szCs w:val="24"/>
          <w:color w:val="auto"/>
        </w:rPr>
      </w:pPr>
    </w:p>
    <w:p>
      <w:pPr>
        <w:ind w:right="20" w:firstLine="486"/>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0" w:lineRule="exact"/>
        <w:rPr>
          <w:sz w:val="24"/>
          <w:szCs w:val="24"/>
          <w:color w:val="auto"/>
        </w:rPr>
      </w:pPr>
    </w:p>
    <w:p>
      <w:pPr>
        <w:ind w:left="500"/>
        <w:spacing w:after="0" w:line="207" w:lineRule="exact"/>
        <w:tabs>
          <w:tab w:leader="none" w:pos="9660" w:val="left"/>
          <w:tab w:leader="none" w:pos="104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ectPr>
          <w:pgSz w:w="11900" w:h="16838" w:orient="portrait"/>
          <w:cols w:equalWidth="0" w:num="1">
            <w:col w:w="11240"/>
          </w:cols>
          <w:pgMar w:left="320" w:top="1311" w:right="33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As of May 7, 2024, the registrant had 119,165,108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1083310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118745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144780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9639"/>
          </w:cols>
          <w:pgMar w:left="8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7"/>
        </w:trPr>
        <w:tc>
          <w:tcPr>
            <w:tcW w:w="20" w:type="dxa"/>
            <w:vAlign w:val="bottom"/>
          </w:tcPr>
          <w:p>
            <w:pPr>
              <w:spacing w:after="0"/>
              <w:rPr>
                <w:sz w:val="17"/>
                <w:szCs w:val="17"/>
                <w:color w:val="auto"/>
              </w:rPr>
            </w:pPr>
          </w:p>
        </w:tc>
        <w:tc>
          <w:tcPr>
            <w:tcW w:w="154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rPr>
              <w:t>PART I.</w:t>
            </w:r>
          </w:p>
        </w:tc>
        <w:tc>
          <w:tcPr>
            <w:tcW w:w="8180" w:type="dxa"/>
            <w:vAlign w:val="bottom"/>
            <w:gridSpan w:val="18"/>
          </w:tcPr>
          <w:p>
            <w:pPr>
              <w:spacing w:after="0" w:line="197" w:lineRule="exact"/>
              <w:rPr>
                <w:sz w:val="20"/>
                <w:szCs w:val="20"/>
                <w:color w:val="auto"/>
              </w:rPr>
            </w:pPr>
            <w:r>
              <w:rPr>
                <w:rFonts w:ascii="Arial" w:cs="Arial" w:eastAsia="Arial" w:hAnsi="Arial"/>
                <w:sz w:val="18"/>
                <w:szCs w:val="18"/>
                <w:color w:val="0000FF"/>
              </w:rPr>
              <w:t>Financial Information</w:t>
            </w:r>
          </w:p>
        </w:tc>
        <w:tc>
          <w:tcPr>
            <w:tcW w:w="1500" w:type="dxa"/>
            <w:vAlign w:val="bottom"/>
          </w:tcPr>
          <w:p>
            <w:pPr>
              <w:jc w:val="right"/>
              <w:spacing w:after="0" w:line="197" w:lineRule="exact"/>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Financial Statements (Unaudited)</w:t>
            </w:r>
          </w:p>
        </w:tc>
        <w:tc>
          <w:tcPr>
            <w:tcW w:w="3440" w:type="dxa"/>
            <w:vAlign w:val="bottom"/>
            <w:gridSpan w:val="5"/>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Balance Sheets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2360" w:type="dxa"/>
            <w:vAlign w:val="bottom"/>
            <w:gridSpan w:val="2"/>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Cash Flows</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Notes to Condensed Consolidated Financial Statements (Unaudited)</w:t>
            </w:r>
          </w:p>
        </w:tc>
        <w:tc>
          <w:tcPr>
            <w:tcW w:w="2720" w:type="dxa"/>
            <w:vAlign w:val="bottom"/>
            <w:gridSpan w:val="3"/>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06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68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3500" w:type="dxa"/>
            <w:vAlign w:val="bottom"/>
            <w:gridSpan w:val="6"/>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FF"/>
            </w:tcBorders>
            <w:gridSpan w:val="4"/>
          </w:tcPr>
          <w:p>
            <w:pPr>
              <w:spacing w:after="0"/>
              <w:rPr>
                <w:sz w:val="22"/>
                <w:szCs w:val="22"/>
                <w:color w:val="auto"/>
              </w:rPr>
            </w:pPr>
          </w:p>
        </w:tc>
        <w:tc>
          <w:tcPr>
            <w:tcW w:w="6200" w:type="dxa"/>
            <w:vAlign w:val="bottom"/>
            <w:gridSpan w:val="11"/>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6700" w:type="dxa"/>
            <w:vAlign w:val="bottom"/>
            <w:gridSpan w:val="14"/>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4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9"/>
              </w:rPr>
              <w:t>Default Upon Senior Securities</w:t>
            </w:r>
          </w:p>
        </w:tc>
        <w:tc>
          <w:tcPr>
            <w:tcW w:w="2380" w:type="dxa"/>
            <w:vAlign w:val="bottom"/>
            <w:tcBorders>
              <w:top w:val="single" w:sz="8" w:color="0000FF"/>
            </w:tcBorders>
            <w:gridSpan w:val="6"/>
          </w:tcPr>
          <w:p>
            <w:pPr>
              <w:spacing w:after="0"/>
              <w:rPr>
                <w:sz w:val="22"/>
                <w:szCs w:val="22"/>
                <w:color w:val="auto"/>
              </w:rPr>
            </w:pPr>
          </w:p>
        </w:tc>
        <w:tc>
          <w:tcPr>
            <w:tcW w:w="3340" w:type="dxa"/>
            <w:vAlign w:val="bottom"/>
            <w:gridSpan w:val="4"/>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18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3"/>
          </w:tcPr>
          <w:p>
            <w:pPr>
              <w:spacing w:after="0"/>
              <w:rPr>
                <w:sz w:val="22"/>
                <w:szCs w:val="22"/>
                <w:color w:val="auto"/>
              </w:rPr>
            </w:pPr>
          </w:p>
        </w:tc>
        <w:tc>
          <w:tcPr>
            <w:tcW w:w="6260" w:type="dxa"/>
            <w:vAlign w:val="bottom"/>
            <w:gridSpan w:val="12"/>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80" w:type="dxa"/>
            <w:vAlign w:val="bottom"/>
            <w:gridSpan w:val="18"/>
          </w:tcPr>
          <w:p>
            <w:pPr>
              <w:spacing w:after="0"/>
              <w:rPr>
                <w:sz w:val="20"/>
                <w:szCs w:val="20"/>
                <w:color w:val="auto"/>
              </w:rPr>
            </w:pPr>
            <w:r>
              <w:rPr>
                <w:rFonts w:ascii="Arial" w:cs="Arial" w:eastAsia="Arial" w:hAnsi="Arial"/>
                <w:sz w:val="18"/>
                <w:szCs w:val="18"/>
                <w:color w:val="0000FF"/>
              </w:rPr>
              <w:t>Exhibits</w:t>
            </w: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3"/>
        </w:trPr>
        <w:tc>
          <w:tcPr>
            <w:tcW w:w="20" w:type="dxa"/>
            <w:vAlign w:val="bottom"/>
          </w:tcPr>
          <w:p>
            <w:pPr>
              <w:spacing w:after="0"/>
              <w:rPr>
                <w:sz w:val="22"/>
                <w:szCs w:val="22"/>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20" w:type="dxa"/>
            <w:vAlign w:val="bottom"/>
            <w:tcBorders>
              <w:top w:val="single" w:sz="8" w:color="0000FF"/>
            </w:tcBorders>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27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 2024</w:t>
            </w:r>
          </w:p>
        </w:tc>
        <w:tc>
          <w:tcPr>
            <w:tcW w:w="220" w:type="dxa"/>
            <w:vAlign w:val="bottom"/>
          </w:tcPr>
          <w:p>
            <w:pPr>
              <w:spacing w:after="0"/>
              <w:rPr>
                <w:sz w:val="20"/>
                <w:szCs w:val="20"/>
                <w:color w:val="auto"/>
              </w:rPr>
            </w:pPr>
          </w:p>
        </w:tc>
        <w:tc>
          <w:tcPr>
            <w:tcW w:w="208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240,206</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8,103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Current contract assets, net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21,346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28,704</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receivable</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290,468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289,876</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4,131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 net</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10,582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 net</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70,113</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374,037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Current portion of debt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4,688</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claims administration liability</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20,590</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Long-term debt, net of deferred financing costs</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138,510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139,357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168,457</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Preferred stock, $0.01 par value; 10,000,000 shares authorized, none issued</w:t>
            </w:r>
          </w:p>
        </w:tc>
        <w:tc>
          <w:tcPr>
            <w:tcW w:w="300" w:type="dxa"/>
            <w:vAlign w:val="bottom"/>
            <w:shd w:val="clear" w:color="auto" w:fill="CCEEFF"/>
          </w:tcPr>
          <w:p>
            <w:pPr>
              <w:spacing w:after="0"/>
              <w:rPr>
                <w:sz w:val="15"/>
                <w:szCs w:val="15"/>
                <w:color w:val="auto"/>
              </w:rPr>
            </w:pPr>
          </w:p>
        </w:tc>
        <w:tc>
          <w:tcPr>
            <w:tcW w:w="2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w:t>
            </w:r>
          </w:p>
        </w:tc>
        <w:tc>
          <w:tcPr>
            <w:tcW w:w="300" w:type="dxa"/>
            <w:vAlign w:val="bottom"/>
            <w:shd w:val="clear" w:color="auto" w:fill="CCEEFF"/>
          </w:tcPr>
          <w:p>
            <w:pPr>
              <w:spacing w:after="0"/>
              <w:rPr>
                <w:sz w:val="21"/>
                <w:szCs w:val="21"/>
                <w:color w:val="auto"/>
              </w:rPr>
            </w:pPr>
          </w:p>
        </w:tc>
        <w:tc>
          <w:tcPr>
            <w:tcW w:w="21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360"/>
              <w:spacing w:after="0"/>
              <w:rPr>
                <w:sz w:val="20"/>
                <w:szCs w:val="20"/>
                <w:color w:val="auto"/>
              </w:rPr>
            </w:pPr>
            <w:r>
              <w:rPr>
                <w:rFonts w:ascii="Arial" w:cs="Arial" w:eastAsia="Arial" w:hAnsi="Arial"/>
                <w:sz w:val="18"/>
                <w:szCs w:val="18"/>
                <w:color w:val="auto"/>
              </w:rPr>
              <w:t>Common stock, $0.01 par value; 550,000,000 shares authorized,</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128,198,185 shares issued and 119,151,161 shares outstanding as of</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360"/>
              <w:spacing w:after="0"/>
              <w:rPr>
                <w:sz w:val="20"/>
                <w:szCs w:val="20"/>
                <w:color w:val="auto"/>
              </w:rPr>
            </w:pPr>
            <w:r>
              <w:rPr>
                <w:rFonts w:ascii="Arial" w:cs="Arial" w:eastAsia="Arial" w:hAnsi="Arial"/>
                <w:sz w:val="18"/>
                <w:szCs w:val="18"/>
                <w:color w:val="auto"/>
              </w:rPr>
              <w:t>March 31, 2024 and 128,198,185 shares issued and 118,819,795 shares</w:t>
            </w: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as of December 31, 2023</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502,032</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(188,662)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(193,749)</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9"/>
              </w:rPr>
              <w:t>Treasury stock at cost, 9,047,024 shares at March 31, 2024 and 9,378,390 at</w:t>
            </w:r>
          </w:p>
        </w:tc>
        <w:tc>
          <w:tcPr>
            <w:tcW w:w="300" w:type="dxa"/>
            <w:vAlign w:val="bottom"/>
            <w:shd w:val="clear" w:color="auto" w:fill="CCEEFF"/>
          </w:tcPr>
          <w:p>
            <w:pPr>
              <w:spacing w:after="0"/>
              <w:rPr>
                <w:sz w:val="15"/>
                <w:szCs w:val="15"/>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(99,699)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(103,985)</w:t>
            </w: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2023</w:t>
            </w:r>
          </w:p>
        </w:tc>
        <w:tc>
          <w:tcPr>
            <w:tcW w:w="30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0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205,580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380,598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374,037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5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6"/>
                <w:szCs w:val="16"/>
                <w:b w:val="1"/>
                <w:bCs w:val="1"/>
                <w:color w:val="auto"/>
              </w:rPr>
              <w:t>Three Months Ended March 31,</w:t>
            </w:r>
          </w:p>
        </w:tc>
      </w:tr>
      <w:tr>
        <w:trPr>
          <w:trHeight w:val="223"/>
        </w:trPr>
        <w:tc>
          <w:tcPr>
            <w:tcW w:w="65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2023</w:t>
            </w:r>
          </w:p>
        </w:tc>
      </w:tr>
      <w:tr>
        <w:trPr>
          <w:trHeight w:val="210"/>
        </w:trPr>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Revenue</w:t>
            </w: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6500" w:type="dxa"/>
            <w:vAlign w:val="bottom"/>
          </w:tcPr>
          <w:p>
            <w:pPr>
              <w:ind w:left="280"/>
              <w:spacing w:after="0"/>
              <w:rPr>
                <w:sz w:val="20"/>
                <w:szCs w:val="20"/>
                <w:color w:val="auto"/>
              </w:rPr>
            </w:pPr>
            <w:r>
              <w:rPr>
                <w:rFonts w:ascii="Arial" w:cs="Arial" w:eastAsia="Arial" w:hAnsi="Arial"/>
                <w:sz w:val="18"/>
                <w:szCs w:val="18"/>
                <w:color w:val="auto"/>
              </w:rPr>
              <w:t>Program fees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14,309</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17,301</w:t>
            </w:r>
          </w:p>
        </w:tc>
      </w:tr>
      <w:tr>
        <w:trPr>
          <w:trHeight w:val="229"/>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Profit share</w:t>
            </w: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18,602</w:t>
            </w:r>
          </w:p>
        </w:tc>
      </w:tr>
      <w:tr>
        <w:trPr>
          <w:trHeight w:val="230"/>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Claims administration and other service fees</w:t>
            </w: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w:t>
            </w:r>
          </w:p>
        </w:tc>
      </w:tr>
      <w:tr>
        <w:trPr>
          <w:trHeight w:val="223"/>
        </w:trPr>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revenue</w:t>
            </w: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38,361</w:t>
            </w:r>
          </w:p>
        </w:tc>
      </w:tr>
      <w:tr>
        <w:trPr>
          <w:trHeight w:val="230"/>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Cost of services</w:t>
            </w: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r>
      <w:tr>
        <w:trPr>
          <w:trHeight w:val="223"/>
        </w:trPr>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Gross profit</w:t>
            </w: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32,930</w:t>
            </w:r>
          </w:p>
        </w:tc>
      </w:tr>
      <w:tr>
        <w:trPr>
          <w:trHeight w:val="230"/>
        </w:trPr>
        <w:tc>
          <w:tcPr>
            <w:tcW w:w="6500" w:type="dxa"/>
            <w:vAlign w:val="bottom"/>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r>
      <w:tr>
        <w:trPr>
          <w:trHeight w:val="229"/>
        </w:trPr>
        <w:tc>
          <w:tcPr>
            <w:tcW w:w="6500" w:type="dxa"/>
            <w:vAlign w:val="bottom"/>
          </w:tcPr>
          <w:p>
            <w:pPr>
              <w:ind w:left="280"/>
              <w:spacing w:after="0"/>
              <w:rPr>
                <w:sz w:val="20"/>
                <w:szCs w:val="20"/>
                <w:color w:val="auto"/>
              </w:rPr>
            </w:pPr>
            <w:r>
              <w:rPr>
                <w:rFonts w:ascii="Arial" w:cs="Arial" w:eastAsia="Arial" w:hAnsi="Arial"/>
                <w:sz w:val="18"/>
                <w:szCs w:val="18"/>
                <w:color w:val="auto"/>
              </w:rPr>
              <w:t>Selling and marketing</w:t>
            </w: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4,409</w:t>
            </w:r>
          </w:p>
        </w:tc>
      </w:tr>
      <w:tr>
        <w:trPr>
          <w:trHeight w:val="230"/>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r>
      <w:tr>
        <w:trPr>
          <w:trHeight w:val="223"/>
        </w:trPr>
        <w:tc>
          <w:tcPr>
            <w:tcW w:w="65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15,834</w:t>
            </w:r>
          </w:p>
        </w:tc>
      </w:tr>
      <w:tr>
        <w:trPr>
          <w:trHeight w:val="223"/>
        </w:trPr>
        <w:tc>
          <w:tcPr>
            <w:tcW w:w="65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17,096</w:t>
            </w:r>
          </w:p>
        </w:tc>
      </w:tr>
      <w:tr>
        <w:trPr>
          <w:trHeight w:val="229"/>
        </w:trPr>
        <w:tc>
          <w:tcPr>
            <w:tcW w:w="6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(2,387)</w:t>
            </w:r>
          </w:p>
        </w:tc>
      </w:tr>
      <w:tr>
        <w:trPr>
          <w:trHeight w:val="230"/>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7,524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16,773</w:t>
            </w:r>
          </w:p>
        </w:tc>
      </w:tr>
      <w:tr>
        <w:trPr>
          <w:trHeight w:val="230"/>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12,538</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common share</w:t>
            </w: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Basic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30"/>
        </w:trPr>
        <w:tc>
          <w:tcPr>
            <w:tcW w:w="6500" w:type="dxa"/>
            <w:vAlign w:val="bottom"/>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118,926,170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123,122,014</w:t>
            </w:r>
          </w:p>
        </w:tc>
      </w:tr>
      <w:tr>
        <w:trPr>
          <w:trHeight w:val="239"/>
        </w:trPr>
        <w:tc>
          <w:tcPr>
            <w:tcW w:w="6500" w:type="dxa"/>
            <w:vAlign w:val="bottom"/>
          </w:tcPr>
          <w:p>
            <w:pPr>
              <w:ind w:left="22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119,416,384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123,424,322</w:t>
            </w:r>
          </w:p>
        </w:tc>
      </w:tr>
    </w:tbl>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2100" w:type="dxa"/>
            <w:vAlign w:val="bottom"/>
            <w:gridSpan w:val="5"/>
            <w:vMerge w:val="restart"/>
          </w:tcPr>
          <w:p>
            <w:pPr>
              <w:ind w:left="420"/>
              <w:spacing w:after="0" w:line="162" w:lineRule="exact"/>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00"/>
              <w:spacing w:after="0" w:line="162" w:lineRule="exact"/>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7"/>
                <w:szCs w:val="7"/>
                <w:color w:val="auto"/>
              </w:rPr>
            </w:pPr>
          </w:p>
        </w:tc>
        <w:tc>
          <w:tcPr>
            <w:tcW w:w="2120" w:type="dxa"/>
            <w:vAlign w:val="bottom"/>
            <w:gridSpan w:val="5"/>
            <w:vMerge w:val="restart"/>
          </w:tcPr>
          <w:p>
            <w:pPr>
              <w:ind w:left="440"/>
              <w:spacing w:after="0" w:line="162" w:lineRule="exact"/>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3140" w:type="dxa"/>
            <w:vAlign w:val="bottom"/>
          </w:tcPr>
          <w:p>
            <w:pPr>
              <w:spacing w:after="0"/>
              <w:rPr>
                <w:sz w:val="7"/>
                <w:szCs w:val="7"/>
                <w:color w:val="auto"/>
              </w:rPr>
            </w:pPr>
          </w:p>
        </w:tc>
        <w:tc>
          <w:tcPr>
            <w:tcW w:w="21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4"/>
        </w:trPr>
        <w:tc>
          <w:tcPr>
            <w:tcW w:w="3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04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502,032</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(193,749)</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(9,378,390)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(103,985)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205,580</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163"/>
        </w:trPr>
        <w:tc>
          <w:tcPr>
            <w:tcW w:w="31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Restricted stock units issued, net of</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331,366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10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5,087</w:t>
            </w:r>
          </w:p>
        </w:tc>
        <w:tc>
          <w:tcPr>
            <w:tcW w:w="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08"/>
        </w:trPr>
        <w:tc>
          <w:tcPr>
            <w:tcW w:w="3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2024</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498,617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(188,662)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(9,047,024)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(99,699)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211,538</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line="290" w:lineRule="auto"/>
        <w:rPr>
          <w:sz w:val="20"/>
          <w:szCs w:val="20"/>
          <w:color w:val="auto"/>
        </w:rPr>
      </w:pPr>
      <w:r>
        <w:rPr>
          <w:rFonts w:ascii="Arial" w:cs="Arial" w:eastAsia="Arial" w:hAnsi="Arial"/>
          <w:sz w:val="16"/>
          <w:szCs w:val="16"/>
          <w:b w:val="1"/>
          <w:bCs w:val="1"/>
          <w:color w:val="auto"/>
        </w:rPr>
        <w:t xml:space="preserve">Balance as of December 31, 2022 </w:t>
      </w:r>
      <w:r>
        <w:rPr>
          <w:rFonts w:ascii="Arial" w:cs="Arial" w:eastAsia="Arial" w:hAnsi="Arial"/>
          <w:sz w:val="16"/>
          <w:szCs w:val="16"/>
          <w:color w:val="auto"/>
        </w:rPr>
        <w:t>Share-based compensation</w:t>
      </w:r>
    </w:p>
    <w:p>
      <w:pPr>
        <w:spacing w:after="0" w:line="1" w:lineRule="exact"/>
        <w:rPr>
          <w:sz w:val="20"/>
          <w:szCs w:val="20"/>
          <w:color w:val="auto"/>
        </w:rPr>
      </w:pPr>
    </w:p>
    <w:p>
      <w:pPr>
        <w:ind w:left="20"/>
        <w:spacing w:after="0" w:line="246" w:lineRule="auto"/>
        <w:rPr>
          <w:sz w:val="20"/>
          <w:szCs w:val="20"/>
          <w:color w:val="auto"/>
        </w:rPr>
      </w:pPr>
      <w:r>
        <w:rPr>
          <w:rFonts w:ascii="Arial" w:cs="Arial" w:eastAsia="Arial" w:hAnsi="Arial"/>
          <w:sz w:val="16"/>
          <w:szCs w:val="16"/>
          <w:color w:val="auto"/>
        </w:rPr>
        <w:t>Restricted stock units issued, net of shares withheld for taxes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Additional</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Accumulated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2100" w:type="dxa"/>
            <w:vAlign w:val="bottom"/>
            <w:gridSpan w:val="5"/>
            <w:vMerge w:val="restart"/>
          </w:tcPr>
          <w:p>
            <w:pPr>
              <w:ind w:left="420"/>
              <w:spacing w:after="0" w:line="162" w:lineRule="exact"/>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7"/>
                <w:szCs w:val="7"/>
                <w:color w:val="auto"/>
              </w:rPr>
            </w:pPr>
          </w:p>
        </w:tc>
        <w:tc>
          <w:tcPr>
            <w:tcW w:w="114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320" w:type="dxa"/>
            <w:vAlign w:val="bottom"/>
            <w:gridSpan w:val="3"/>
            <w:vMerge w:val="continue"/>
          </w:tcPr>
          <w:p>
            <w:pPr>
              <w:spacing w:after="0"/>
              <w:rPr>
                <w:sz w:val="7"/>
                <w:szCs w:val="7"/>
                <w:color w:val="auto"/>
              </w:rPr>
            </w:pPr>
          </w:p>
        </w:tc>
        <w:tc>
          <w:tcPr>
            <w:tcW w:w="2120" w:type="dxa"/>
            <w:vAlign w:val="bottom"/>
            <w:gridSpan w:val="5"/>
            <w:vMerge w:val="restart"/>
          </w:tcPr>
          <w:p>
            <w:pPr>
              <w:ind w:left="440"/>
              <w:spacing w:after="0" w:line="162" w:lineRule="exact"/>
              <w:rPr>
                <w:sz w:val="20"/>
                <w:szCs w:val="20"/>
                <w:color w:val="auto"/>
              </w:rPr>
            </w:pPr>
            <w:r>
              <w:rPr>
                <w:rFonts w:ascii="Arial" w:cs="Arial" w:eastAsia="Arial" w:hAnsi="Arial"/>
                <w:sz w:val="16"/>
                <w:szCs w:val="16"/>
                <w:b w:val="1"/>
                <w:bCs w:val="1"/>
                <w:color w:val="auto"/>
              </w:rPr>
              <w:t>Treasury Stock</w:t>
            </w:r>
          </w:p>
        </w:tc>
        <w:tc>
          <w:tcPr>
            <w:tcW w:w="124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81"/>
        </w:trPr>
        <w:tc>
          <w:tcPr>
            <w:tcW w:w="2100" w:type="dxa"/>
            <w:vAlign w:val="bottom"/>
            <w:gridSpan w:val="5"/>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rPr>
              <w:t>Deficit</w:t>
            </w:r>
          </w:p>
        </w:tc>
        <w:tc>
          <w:tcPr>
            <w:tcW w:w="2120" w:type="dxa"/>
            <w:vAlign w:val="bottom"/>
            <w:gridSpan w:val="5"/>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4"/>
        </w:trPr>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0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18"/>
                <w:szCs w:val="18"/>
                <w:color w:val="auto"/>
              </w:rPr>
            </w:pPr>
          </w:p>
        </w:tc>
        <w:tc>
          <w:tcPr>
            <w:tcW w:w="1040" w:type="dxa"/>
            <w:vAlign w:val="bottom"/>
            <w:tcBorders>
              <w:top w:val="single" w:sz="8" w:color="auto"/>
            </w:tcBorders>
            <w:gridSpan w:val="2"/>
          </w:tcPr>
          <w:p>
            <w:pPr>
              <w:ind w:left="220"/>
              <w:spacing w:after="0"/>
              <w:rPr>
                <w:sz w:val="20"/>
                <w:szCs w:val="20"/>
                <w:color w:val="auto"/>
              </w:rPr>
            </w:pPr>
            <w:r>
              <w:rPr>
                <w:rFonts w:ascii="Arial" w:cs="Arial" w:eastAsia="Arial" w:hAnsi="Arial"/>
                <w:sz w:val="16"/>
                <w:szCs w:val="16"/>
                <w:color w:val="auto"/>
              </w:rPr>
              <w:t>Shares</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rPr>
              <w:t>Amount</w:t>
            </w:r>
          </w:p>
        </w:tc>
        <w:tc>
          <w:tcPr>
            <w:tcW w:w="0" w:type="dxa"/>
            <w:vAlign w:val="bottom"/>
          </w:tcPr>
          <w:p>
            <w:pPr>
              <w:spacing w:after="0"/>
              <w:rPr>
                <w:sz w:val="1"/>
                <w:szCs w:val="1"/>
                <w:color w:val="auto"/>
              </w:rPr>
            </w:pPr>
          </w:p>
        </w:tc>
      </w:tr>
      <w:tr>
        <w:trPr>
          <w:trHeight w:val="210"/>
        </w:trPr>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499,625</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(215,819)</w:t>
            </w:r>
          </w:p>
        </w:tc>
        <w:tc>
          <w:tcPr>
            <w:tcW w:w="8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(4,552,126)</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(72,264)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212,824</w:t>
            </w:r>
          </w:p>
        </w:tc>
        <w:tc>
          <w:tcPr>
            <w:tcW w:w="0" w:type="dxa"/>
            <w:vAlign w:val="bottom"/>
          </w:tcPr>
          <w:p>
            <w:pPr>
              <w:spacing w:after="0"/>
              <w:rPr>
                <w:sz w:val="1"/>
                <w:szCs w:val="1"/>
                <w:color w:val="auto"/>
              </w:rPr>
            </w:pPr>
          </w:p>
        </w:tc>
      </w:tr>
      <w:tr>
        <w:trPr>
          <w:trHeight w:val="215"/>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97"/>
        </w:trPr>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(939)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41,148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-469265</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-186690</wp:posOffset>
            </wp:positionV>
            <wp:extent cx="711517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2580" w:space="560"/>
            <w:col w:w="808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140" w:type="dxa"/>
            <w:vAlign w:val="bottom"/>
          </w:tcPr>
          <w:p>
            <w:pPr>
              <w:ind w:left="20"/>
              <w:spacing w:after="0"/>
              <w:rPr>
                <w:sz w:val="20"/>
                <w:szCs w:val="20"/>
                <w:color w:val="auto"/>
              </w:rPr>
            </w:pPr>
            <w:r>
              <w:rPr>
                <w:rFonts w:ascii="Arial" w:cs="Arial" w:eastAsia="Arial" w:hAnsi="Arial"/>
                <w:sz w:val="16"/>
                <w:szCs w:val="16"/>
                <w:color w:val="auto"/>
              </w:rPr>
              <w:t>Shares repurchased, including excise tax</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(3,095,334)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(21,528)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(21,528)</w:t>
            </w:r>
          </w:p>
        </w:tc>
      </w:tr>
      <w:tr>
        <w:trPr>
          <w:trHeight w:val="21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12,538</w:t>
            </w:r>
          </w:p>
        </w:tc>
      </w:tr>
      <w:tr>
        <w:trPr>
          <w:trHeight w:val="210"/>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128,198,185</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1,282</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500,530</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(203,281)</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(7,606,312)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(92,982)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205,549</w:t>
            </w:r>
          </w:p>
        </w:tc>
      </w:tr>
      <w:tr>
        <w:trPr>
          <w:trHeight w:val="20"/>
        </w:trPr>
        <w:tc>
          <w:tcPr>
            <w:tcW w:w="3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r>
      <w:tr>
        <w:trPr>
          <w:trHeight w:val="209"/>
        </w:trPr>
        <w:tc>
          <w:tcPr>
            <w:tcW w:w="73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r>
      <w:tr>
        <w:trPr>
          <w:trHeight w:val="19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5,087</w:t>
            </w:r>
          </w:p>
        </w:tc>
        <w:tc>
          <w:tcPr>
            <w:tcW w:w="10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12,538</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1,854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1,844</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and amortization of fixed assets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42"/>
        </w:trPr>
        <w:tc>
          <w:tcPr>
            <w:tcW w:w="7380" w:type="dxa"/>
            <w:vAlign w:val="bottom"/>
          </w:tcPr>
          <w:p>
            <w:pPr>
              <w:ind w:left="360"/>
              <w:spacing w:after="0"/>
              <w:rPr>
                <w:sz w:val="20"/>
                <w:szCs w:val="20"/>
                <w:color w:val="auto"/>
              </w:rPr>
            </w:pPr>
            <w:r>
              <w:rPr>
                <w:rFonts w:ascii="Arial" w:cs="Arial" w:eastAsia="Arial" w:hAnsi="Arial"/>
                <w:sz w:val="16"/>
                <w:szCs w:val="16"/>
                <w:color w:val="auto"/>
              </w:rPr>
              <w:t>Amortization of debt issuance costs</w:t>
            </w:r>
          </w:p>
        </w:tc>
        <w:tc>
          <w:tcPr>
            <w:tcW w:w="1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44"/>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Non-cash operating lease cost</w:t>
            </w:r>
          </w:p>
        </w:tc>
        <w:tc>
          <w:tcPr>
            <w:tcW w:w="1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1,221</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Changes in assets &amp; liabilities:</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w:t>
            </w: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Contract assets, net</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(2,614)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9,488</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Income tax receivable, net</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2,817</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liabilities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Third-party claims administration liability</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11,006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29,508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Purchase of property and equipment</w:t>
            </w:r>
          </w:p>
        </w:tc>
        <w:tc>
          <w:tcPr>
            <w:tcW w:w="1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Capitalized software development costs</w:t>
            </w: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(642)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(335)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5"/>
        </w:trPr>
        <w:tc>
          <w:tcPr>
            <w:tcW w:w="7380" w:type="dxa"/>
            <w:vAlign w:val="bottom"/>
          </w:tcPr>
          <w:p>
            <w:pPr>
              <w:ind w:left="360"/>
              <w:spacing w:after="0"/>
              <w:rPr>
                <w:sz w:val="20"/>
                <w:szCs w:val="20"/>
                <w:color w:val="auto"/>
              </w:rPr>
            </w:pPr>
            <w:r>
              <w:rPr>
                <w:rFonts w:ascii="Arial" w:cs="Arial" w:eastAsia="Arial" w:hAnsi="Arial"/>
                <w:sz w:val="16"/>
                <w:szCs w:val="16"/>
                <w:color w:val="auto"/>
              </w:rPr>
              <w:t>Payments on term loans</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(938)</w:t>
            </w:r>
          </w:p>
        </w:tc>
      </w:tr>
      <w:tr>
        <w:trPr>
          <w:trHeight w:val="217"/>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 repurchased</w:t>
            </w:r>
          </w:p>
        </w:tc>
        <w:tc>
          <w:tcPr>
            <w:tcW w:w="1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(21,323)</w:t>
            </w:r>
          </w:p>
        </w:tc>
      </w:tr>
      <w:tr>
        <w:trPr>
          <w:trHeight w:val="215"/>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Shares withheld for taxes related to restricted stock units</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(1,959)</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(22,390)</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color w:val="auto"/>
              </w:rPr>
              <w:t>Net change in cash and cash equivalents and restricted cash</w:t>
            </w:r>
          </w:p>
        </w:tc>
        <w:tc>
          <w:tcPr>
            <w:tcW w:w="1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8,405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6,783</w:t>
            </w:r>
          </w:p>
        </w:tc>
      </w:tr>
      <w:tr>
        <w:trPr>
          <w:trHeight w:val="21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the beginning of the period</w:t>
            </w:r>
          </w:p>
        </w:tc>
        <w:tc>
          <w:tcPr>
            <w:tcW w:w="1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246,669</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208,519</w:t>
            </w: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the end of the period</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255,074</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215,302</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3"/>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5"/>
        </w:trPr>
        <w:tc>
          <w:tcPr>
            <w:tcW w:w="7380" w:type="dxa"/>
            <w:vAlign w:val="bottom"/>
          </w:tcPr>
          <w:p>
            <w:pPr>
              <w:ind w:left="240"/>
              <w:spacing w:after="0"/>
              <w:rPr>
                <w:sz w:val="20"/>
                <w:szCs w:val="20"/>
                <w:color w:val="auto"/>
              </w:rPr>
            </w:pPr>
            <w:r>
              <w:rPr>
                <w:rFonts w:ascii="Arial" w:cs="Arial" w:eastAsia="Arial" w:hAnsi="Arial"/>
                <w:sz w:val="16"/>
                <w:szCs w:val="16"/>
                <w:color w:val="auto"/>
              </w:rPr>
              <w:t>Interest paid</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3,541</w:t>
            </w:r>
          </w:p>
        </w:tc>
        <w:tc>
          <w:tcPr>
            <w:tcW w:w="10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2,537</w:t>
            </w:r>
          </w:p>
        </w:tc>
      </w:tr>
      <w:tr>
        <w:trPr>
          <w:trHeight w:val="217"/>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paid (refunded), net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6"/>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w:t>
            </w: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Share-based compensation for capitalized software development</w:t>
            </w:r>
          </w:p>
        </w:tc>
        <w:tc>
          <w:tcPr>
            <w:tcW w:w="116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380" w:type="dxa"/>
            <w:vAlign w:val="bottom"/>
          </w:tcPr>
          <w:p>
            <w:pPr>
              <w:ind w:left="240"/>
              <w:spacing w:after="0"/>
              <w:rPr>
                <w:sz w:val="20"/>
                <w:szCs w:val="20"/>
                <w:color w:val="auto"/>
              </w:rPr>
            </w:pPr>
            <w:r>
              <w:rPr>
                <w:rFonts w:ascii="Arial" w:cs="Arial" w:eastAsia="Arial" w:hAnsi="Arial"/>
                <w:sz w:val="16"/>
                <w:szCs w:val="16"/>
                <w:color w:val="auto"/>
              </w:rPr>
              <w:t>Capitalized software development costs accrued but not paid</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Background and Nature of Operations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Open Lending Corporation (either individually or together with its subsidiaries, as the context requires, the “Company”), headquartered in Austin, Texas, provides loan analytics, risk-based loan pricing, risk modeling and automated decision technology for automotive lenders throughout the United States of America (the “U.S.”), which enables each lending institution to book near-prime and non-prime automotive loans, coupled with real-time underwriting of loan default insurance, out of their existing business flow. The Company also operates as a third-party administrator that adjudicates insurance claims and premium adjustments on automotive loans.</w:t>
      </w:r>
    </w:p>
    <w:p>
      <w:pPr>
        <w:spacing w:after="0" w:line="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flagship product, Lenders Protection™ platform (“LPP”), is a cloud-based automotive lending enablement platform. LPP supports loans made to near-prime and non-prime borrowers and is designed to underwrite default insurance by linking automotive lenders to insurance companies. The platform uses risk-based pricing models that enable automotive lenders to assess the credit risk of a potential borrower using data driven analysis. The Company’s proprietary risk models project loan performance, including expected losses and prepayments in arriving at the optimal contract interest rate. LPP generates a risk-based, all-inclusive interest rate for a loan that is customized to each automotive lender, reflecting cost of capital, loan servicing and acquisition costs, expected recovery rates and target return on assets.</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Unless the context otherwise requires, “we,” “us,” “our,” “Open Lending,” and the “Company” refers to Open Lending Corporation, the combined company and its subsidiaries.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has evaluated how it is organized and managed and has identified one operating segment. All of the Company’s operations and assets are in the U.S., and all of its revenues are attributable to U.S. customers.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and Reporting Policies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(“GAAP”) and include the accounts of Open Lending and all its subsidiaries that are directly or indirectly owned or controlled by the Company. All intercompany transactions and balances have been eliminated upon consolidation. Certain prior year amounts have been reclassified to conform to the Company’s current presentation. Such reclassifications had no effect on the Company’s previously reported net income, earnings per share, cash flows or accumulated deficit.</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information and footnote disclosures normally included in annual financial statements prepared in accordance with GAAP have been omitted from these unaudited condensed consolidated financial statements, as permitted by Securities and Exchange Commission (“SEC”) rules and regulations. The Company believes the disclosures made in these unaudited condensed consolidated financial statements are adequate to make the information herein not misleading. The Company recommends that these unaudited condensed consolidated financial statements be read in conjunction with its audited consolidated financial statements and related notes thereto included in the Company’s Annual Report on Form 10-K for the year ended December 31, 2023 (the “Annual Report”).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interim data includes all adjustments that are of a normal recurring nature, in the opinion of the Company’s management, necessary for a fair statement of the results for the interim periods presented. The results of operations for the three months ended March 31, 2024 are not necessarily indicative of the Company’s operating results for the entire fiscal year ending December 31, 2024.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Concentrations of revenue and credit risks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largest insurance carrier partners accounted for 39% and 10% of the Company’s total revenue during the three months ended March 31, 2024. The Company’s largest insurance carrier partners accounted for 33% and 12% of the Company's total revenue during the three months ended March 31, 2023.</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Financial instruments that potentially subject the Company to credit risk consist of cash and cash equivalents, restricted cash, accounts receivable and contract assets to the extent of the amounts recorded on the balance sheets.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cash equivalents are deposited in commercial analysis accounts, money market funds and U.S. Treasury securities at financial institutions with high credit standing. Restricted cash relates to funds held by the Company on behalf of the insurance carriers, designated for the use of insurance claim payments. Restricted cash is deposited in commercial analysis accounts at one financial institution. At times, such deposits may be in excess of the Federal Deposit Insurance Corporation insurance limits of $250,000 per institution. The Company has not experienced any losses on its deposits of cash and cash equivalents and management believes the Company is not exposed to significant risks on such accounts.</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accounts receivable and contract assets are derived from revenue earned from customers. The Company maintains an allowance for expected credit losses, which represents an estimate based primarily on market implied lifetime probabilities of default and loss severities for assets with similar risk characteristics. As these inputs are derived from market observations, they inherently include forward-looking expectations about macro-economic conditions. The allowance is evaluated quarterly by the Company for adequacy by taking into consideration factors such as reasonableness of the market implied loss statistics, historical lifetime loss data and credit quality of the customer base. Provisions for the allowance for expected credit losses attributable to bad debt are recorded as general and administrative expenses. Account balances deemed uncollectible are written off, net of actual recoveries. If circumstances related to specific customers change, the Company’s estimate of the recoverability of its contract asset could be further adjusted. The Company does not have any material accounts receivable or contract assets receivable balances that are past due and has not written off any balances in its portfolio for the periods presented. The allowance for expected credit losses on accounts receivable and contract assets receivable, in the aggregate, was less than $0.1 million at March 31, 2024 and December 31, 2023.</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March 31, 2024 and December 31, 2023, the Company had one customer that represented at least 10% of the Company’s accounts receivable, net.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estimates and judgments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unaudited condensed consolidated financial statements in conformity with GAAP requires management to make estimates and assumptions that affect the reported amounts in the unaudited condensed consolidated financial statements and accompanying notes. Actual results could differ from those estimates, and those differences may be material. Estimates and underlying assumptions are reviewed on an ongoing basis. Revisions to estimates are recognized prospectively.</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most significant items subject to such estimates and assumptions include, but are not limited to, profit share revenue recognition and the corresponding impact on contract assets and assessing the realizability of deferred tax assets. The Company bases its estimates on historical trends and relevant assumptions that it believes to be reasonable under the circumstances. Accordingly, actual results could be materially different from those estimates.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profit share revenue recognition and the estimation of contract assets, the Company uses a forecast model to estimate variable consideration based on undiscounted expected future profit share to be received from the insurance carriers. The forecast model projects loan-level earned premiums and insurance claim payments driven by projections of prepayment rate, loan default rate and severity of loss. These assumptions are derived from an analysis of the historical performance of the active loan portfolio, prevailing default and prepayment trends, and macroeconomic projections. Estimates of variable consideration generated by the forecast model are constrained to the extent that it is probable that a significant reversal of revenue will not occur in future periods.</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 continually assesses the default and prepayment assumptions of the forecast model against reported performance and lender delinquency data. The forecast model is updated to align the default and prepayment rate projections with actual experience.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Recently issued but not yet adopted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2023, the FASB issued ASU No. 2023-07, Segment Reporting (Topic 280): Improvements to Reportable Segment Disclosures, which improves the disclosures about a public entity's reportable segments through enhanced disclosures about significant segment expenses that are regularly provided to the chief operating decision maker. The ASU is effective for fiscal years beginning after December 15, 2023, and interim periods within fiscal years beginning after December 15, 2024, and should be applied retrospectively to all prior periods presented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the financial statements. Early adoption is permitted. The Company is currently evaluating the impact of this ASU on its consolidated financial statements and related disclosures.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which enhances the transparency and decision usefulness of income tax disclosures. The ASU requires additional disclosure related to rate reconciliation, income taxes paid, and other disclosures to improve the effectiveness of income tax disclosures. The ASU is effective for annual periods beginning after December 15, 2024, and applied on a prospective basis. Early adoption and retrospective application is permitted. The Company is currently evaluating the impact of this ASU on its consolidated financial statements and related disclosures.</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Although there may be new accounting pronouncements issued or proposed by the FASB, which the Company has adopted or may adopt, as applicable, the Company believes none of these accounting pronouncements has materially impacted or will materially impact the Company’s consolidated financial position or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3—Contract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in the Company’s contract assets primarily result from the timing difference between the satisfaction of its performance obligation and the customer’s payment. The Company fulfills its obligation under a contract with a customer by transferring services in exchange for consideration from the customer. The Company recognizes contract assets when it transfers services to a customer, recognizes revenue for amounts not yet billed and the right to consideration is conditional on something other than the passage of time. Accounts receivable are recorded when the customer has been billed or the right to consideration is unconditional.</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performance obligations satisfied in previous periods, the Company evaluates and updates its profit share revenue forecast on a quarterly basis and adjusts contract assets accordingly. During the three months ended March 31, 2024 and 2023, contract asset adjustments attributable to profit share revenue forecast adjustments resulted in a decrease of $1.1 million and an increase of $0.7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balances for the periods indicated below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Contract Assets</w:t>
            </w: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Profit</w:t>
            </w:r>
          </w:p>
        </w:tc>
        <w:tc>
          <w:tcPr>
            <w:tcW w:w="22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Program</w:t>
            </w:r>
          </w:p>
        </w:tc>
        <w:tc>
          <w:tcPr>
            <w:tcW w:w="1880" w:type="dxa"/>
            <w:vAlign w:val="bottom"/>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rPr>
              <w:t>Claims</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88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Administration and</w:t>
            </w:r>
          </w:p>
        </w:tc>
        <w:tc>
          <w:tcPr>
            <w:tcW w:w="300" w:type="dxa"/>
            <w:vAlign w:val="bottom"/>
          </w:tcPr>
          <w:p>
            <w:pPr>
              <w:spacing w:after="0"/>
              <w:rPr>
                <w:sz w:val="15"/>
                <w:szCs w:val="15"/>
                <w:color w:val="auto"/>
              </w:rPr>
            </w:pPr>
          </w:p>
        </w:tc>
        <w:tc>
          <w:tcPr>
            <w:tcW w:w="106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7"/>
              </w:rPr>
              <w:t>Fees</w:t>
            </w:r>
          </w:p>
        </w:tc>
        <w:tc>
          <w:tcPr>
            <w:tcW w:w="18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rPr>
              <w:t>Other Service Fees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jc w:val="right"/>
              <w:ind w:right="250"/>
              <w:spacing w:after="0"/>
              <w:rPr>
                <w:sz w:val="20"/>
                <w:szCs w:val="20"/>
                <w:color w:val="auto"/>
              </w:rPr>
            </w:pPr>
            <w:r>
              <w:rPr>
                <w:rFonts w:ascii="Arial" w:cs="Arial" w:eastAsia="Arial" w:hAnsi="Arial"/>
                <w:sz w:val="16"/>
                <w:szCs w:val="16"/>
                <w:i w:val="1"/>
                <w:iCs w:val="1"/>
                <w:color w:val="auto"/>
              </w:rPr>
              <w:t>(in thousands)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December 31, 2023</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22,855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4,738</w:t>
            </w:r>
          </w:p>
        </w:tc>
        <w:tc>
          <w:tcPr>
            <w:tcW w:w="100" w:type="dxa"/>
            <w:vAlign w:val="bottom"/>
          </w:tcPr>
          <w:p>
            <w:pPr>
              <w:spacing w:after="0"/>
              <w:rPr>
                <w:sz w:val="19"/>
                <w:szCs w:val="19"/>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1,721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29,314</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of contract assets due to new business generation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31,934</w:t>
            </w:r>
          </w:p>
        </w:tc>
        <w:tc>
          <w:tcPr>
            <w:tcW w:w="0" w:type="dxa"/>
            <w:vAlign w:val="bottom"/>
          </w:tcPr>
          <w:p>
            <w:pPr>
              <w:spacing w:after="0"/>
              <w:rPr>
                <w:sz w:val="1"/>
                <w:szCs w:val="1"/>
                <w:color w:val="auto"/>
              </w:rPr>
            </w:pPr>
          </w:p>
        </w:tc>
      </w:tr>
      <w:tr>
        <w:trPr>
          <w:trHeight w:val="175"/>
        </w:trPr>
        <w:tc>
          <w:tcPr>
            <w:tcW w:w="5080" w:type="dxa"/>
            <w:vAlign w:val="bottom"/>
          </w:tcPr>
          <w:p>
            <w:pPr>
              <w:ind w:left="140"/>
              <w:spacing w:after="0" w:line="176" w:lineRule="exact"/>
              <w:rPr>
                <w:sz w:val="20"/>
                <w:szCs w:val="20"/>
                <w:color w:val="auto"/>
              </w:rPr>
            </w:pPr>
            <w:r>
              <w:rPr>
                <w:rFonts w:ascii="Arial" w:cs="Arial" w:eastAsia="Arial" w:hAnsi="Arial"/>
                <w:sz w:val="18"/>
                <w:szCs w:val="18"/>
                <w:color w:val="auto"/>
              </w:rPr>
              <w:t>Adjustment of contract assets due to estimation of revenue</w:t>
            </w: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5"/>
                <w:szCs w:val="15"/>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3"/>
        </w:trPr>
        <w:tc>
          <w:tcPr>
            <w:tcW w:w="5080" w:type="dxa"/>
            <w:vAlign w:val="bottom"/>
          </w:tcPr>
          <w:p>
            <w:pPr>
              <w:ind w:left="140"/>
              <w:spacing w:after="0"/>
              <w:rPr>
                <w:sz w:val="20"/>
                <w:szCs w:val="20"/>
                <w:color w:val="auto"/>
              </w:rPr>
            </w:pPr>
            <w:r>
              <w:rPr>
                <w:rFonts w:ascii="Arial" w:cs="Arial" w:eastAsia="Arial" w:hAnsi="Arial"/>
                <w:sz w:val="18"/>
                <w:szCs w:val="18"/>
                <w:color w:val="auto"/>
              </w:rPr>
              <w:t>from performance obligations satisfied in previous periods</w:t>
            </w:r>
          </w:p>
        </w:tc>
        <w:tc>
          <w:tcPr>
            <w:tcW w:w="2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Receivables transferred from contract assets upon billing</w:t>
            </w:r>
          </w:p>
        </w:tc>
        <w:tc>
          <w:tcPr>
            <w:tcW w:w="2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the lending institutions</w:t>
            </w:r>
          </w:p>
        </w:tc>
        <w:tc>
          <w:tcPr>
            <w:tcW w:w="26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Payments received from insurance carriers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(13,105)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for expected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Ending balance as of March 31, 2024</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4,006</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31,928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2024 and December 31, 2023, the Company’s contract assets consisted of $21.3 million and $28.7 million, respectively, as the portion estimated to be received within one year and $10.6 million and $0.6 million, respectively, as the non-current portion to be received beyond one year.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fulfillment costs associated with the Company’s contracts with customers do not meet the criteria for capitalization and therefore are expensed as incurred.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40" w:type="dxa"/>
            <w:vAlign w:val="bottom"/>
          </w:tcPr>
          <w:p>
            <w:pPr>
              <w:spacing w:after="0"/>
              <w:rPr>
                <w:sz w:val="20"/>
                <w:szCs w:val="20"/>
                <w:color w:val="auto"/>
              </w:rPr>
            </w:pPr>
            <w:r>
              <w:rPr>
                <w:rFonts w:ascii="Arial" w:cs="Arial" w:eastAsia="Arial" w:hAnsi="Arial"/>
                <w:sz w:val="18"/>
                <w:szCs w:val="18"/>
                <w:b w:val="1"/>
                <w:bCs w:val="1"/>
                <w:color w:val="auto"/>
              </w:rPr>
              <w:t>Note 4—Long-term Debt</w:t>
            </w:r>
          </w:p>
        </w:tc>
        <w:tc>
          <w:tcPr>
            <w:tcW w:w="2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316"/>
        </w:trPr>
        <w:tc>
          <w:tcPr>
            <w:tcW w:w="9040" w:type="dxa"/>
            <w:vAlign w:val="bottom"/>
            <w:gridSpan w:val="4"/>
          </w:tcPr>
          <w:p>
            <w:pPr>
              <w:spacing w:after="0"/>
              <w:rPr>
                <w:sz w:val="20"/>
                <w:szCs w:val="20"/>
                <w:color w:val="auto"/>
              </w:rPr>
            </w:pPr>
            <w:r>
              <w:rPr>
                <w:rFonts w:ascii="Arial" w:cs="Arial" w:eastAsia="Arial" w:hAnsi="Arial"/>
                <w:sz w:val="18"/>
                <w:szCs w:val="18"/>
                <w:color w:val="auto"/>
              </w:rPr>
              <w:t>The following table provides a summary of the Company’s debt as of the periods indicated:</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47"/>
        </w:trPr>
        <w:tc>
          <w:tcPr>
            <w:tcW w:w="67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March 31, 2024</w:t>
            </w: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2023</w:t>
            </w:r>
          </w:p>
        </w:tc>
      </w:tr>
      <w:tr>
        <w:trPr>
          <w:trHeight w:val="236"/>
        </w:trPr>
        <w:tc>
          <w:tcPr>
            <w:tcW w:w="6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220" w:type="dxa"/>
            <w:vAlign w:val="bottom"/>
            <w:gridSpan w:val="4"/>
            <w:shd w:val="clear" w:color="auto" w:fill="CCEEFF"/>
          </w:tcPr>
          <w:p>
            <w:pPr>
              <w:jc w:val="right"/>
              <w:ind w:right="1650"/>
              <w:spacing w:after="0"/>
              <w:rPr>
                <w:sz w:val="20"/>
                <w:szCs w:val="20"/>
                <w:color w:val="auto"/>
              </w:rPr>
            </w:pPr>
            <w:r>
              <w:rPr>
                <w:rFonts w:ascii="Arial" w:cs="Arial" w:eastAsia="Arial" w:hAnsi="Arial"/>
                <w:sz w:val="16"/>
                <w:szCs w:val="16"/>
                <w:i w:val="1"/>
                <w:iCs w:val="1"/>
                <w:color w:val="auto"/>
              </w:rPr>
              <w:t>(in thousands)</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Term Loan due 2027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144,376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145,313</w:t>
            </w:r>
          </w:p>
        </w:tc>
      </w:tr>
      <w:tr>
        <w:trPr>
          <w:trHeight w:val="2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Less: Unamortized deferred financing costs</w:t>
            </w:r>
          </w:p>
        </w:tc>
        <w:tc>
          <w:tcPr>
            <w:tcW w:w="2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144,045</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Less: current portion of debt</w:t>
            </w:r>
          </w:p>
        </w:tc>
        <w:tc>
          <w:tcPr>
            <w:tcW w:w="28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(4,688)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(4,688)</w:t>
            </w:r>
          </w:p>
        </w:tc>
      </w:tr>
      <w:tr>
        <w:trPr>
          <w:trHeight w:val="23"/>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8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long-term debt, net of deferred financing costs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138,510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139,357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Agreement—Term Loan due 2027 and Revolving Credit Facility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9, 2022, the Company entered into a First Amendment to its existing Credit Agreement (the “First Amendment”) with Wells Fargo Bank, N.A., as the administrative agent, and the financial institutions party thereto, as the lenders. The First Amendment provided the Company senior secured credit facilities in an aggregate principal amount of $300 million, which (i) established a term loan due 2027 with a principal amount of $150 million (the “Term Loan due 2027”), and (ii) increased the borrowing capacity on the existing revolving credit facility to $150 million (the “Revolving Credit Facility”), both scheduled to mature on September 9, 2027 (collectively, the “Credit Agreement”).</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Company used proceeds from the Term Loan due 2027 to pay off all outstanding amounts under its prior credit agreement and pay transaction costs related to the First Amendment. The remaining proceeds were used for working capital and other general corporate purposes. The transaction was treated as a debt modification under ASC Topic 470-50, </w:t>
      </w:r>
      <w:r>
        <w:rPr>
          <w:rFonts w:ascii="Arial" w:cs="Arial" w:eastAsia="Arial" w:hAnsi="Arial"/>
          <w:sz w:val="18"/>
          <w:szCs w:val="18"/>
          <w:i w:val="1"/>
          <w:iCs w:val="1"/>
          <w:color w:val="auto"/>
        </w:rPr>
        <w:t>Debt — Modifications and Extinguishments</w:t>
      </w:r>
      <w:r>
        <w:rPr>
          <w:rFonts w:ascii="Arial" w:cs="Arial" w:eastAsia="Arial" w:hAnsi="Arial"/>
          <w:sz w:val="18"/>
          <w:szCs w:val="18"/>
          <w:color w:val="auto"/>
        </w:rPr>
        <w: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obligations of the Company under the Credit Agreement are guaranteed by all of the Company’s U.S. subsidiaries and are secured by substantially all of the assets of the Company and its U.S. subsidiaries, subject to customary exceptions.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Borrowings under the Credit Agreement bear interest at a rate equal to either (i) an Alternate Base rate (“ABR”) or (ii) the term Secured Overnight Financing Rate (“SOFR”) plus 0.10% (“Adjusted SOFR”) plus a spread that is based upon the Company’s total net leverage ratio. The spread ranges from 0.625% to 1.375% per annum for ABR loans and 1.625% to 2.375% per annum for Adjusted SOFR loans. With respect to the ABR loans, interest will be payable at the end of each calendar quarter. With respect to the Adjusted SOFR loans, interest will be payable at the end of the selected interest period (at least quarterly). Additionally, there is an unused commitment fee payable at the end of each quarter at a rate per annum ranging from 0.15% to 0.225% based on the average daily unused portion of the Revolving Credit Facility and other customary letter of credit fees. Pursuant to the Credit Agreement, the interest rate spread and commitment fees increase or decrease in increments as the Company’s Funded Secured Debt/EBITDA ratio increases or decreases.</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2024, the Credit Agreement was subject to an Adjusted SOFR rate of 5.426% plus a spread of 1.625% per annum. Commitment fees were accrued at 0.15% under the Revolving Credit Facility’s unused commitment balance of $150 million as of March 31, 2024. As of March 31, 2024, the effective interest rate on the Company’s outstanding borrowings was 7.296%.</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the Credit Agreement, the Company incurred aggregate deferred financing costs of $2.6 million, of which (i) $2.1 million was allocated to the related term loans and capitalized as a contra-liability against the principal balance of the term loans, and (ii) $0.5 million was allocated to the Revolving Credit Facility and included within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unaudited Condensed Consolidated Balance Sheets. These deferred financing costs are amortized as interest expense using the effective interest method over the term of the Credit Agreement. Unamortized deferred financing costs related to the Term Loan due 2027 and the Revolving Credit Facility were $1.2 million and $0.2 million, respectively, as of March 31, 2024.</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Credit Agreement contains a maximum total net leverage ratio financial covenant and a minimum fixed charge coverage ratio financial covenant, which are tested quarterly. The maximum total net leverage ratio is 3.5:1 for any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fiscal quarter ending on or prior to June 30, 2024 and then decreases to 3.0:1 for any fiscal quarter ending after June 30, 2024. The minimum fixed charge coverage ratio is 1.25:1. As of March 31, 2024, the Company was in compliance with all required covenants under the Credit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During the three months ended March 31, 2024 and 2023, the Company recognized income tax expense of $2.4 million and $4.2 million, respectively, resulting in effective tax rates of 32.4% and 25.2%, respectively. The Company’s income tax expense for the three months ended March 31, 2024 and 2023 differs from amounts computed by applying the U.S. federal statutory tax rate of 21% primarily due to state income tax expenses, and the officer’s compensation limitation under Section 162(m). The increase in effective tax rates for the </w:t>
      </w:r>
      <w:r>
        <w:rPr>
          <w:rFonts w:ascii="Times New Roman" w:cs="Times New Roman" w:eastAsia="Times New Roman" w:hAnsi="Times New Roman"/>
          <w:sz w:val="18"/>
          <w:szCs w:val="18"/>
          <w:color w:val="auto"/>
        </w:rPr>
        <w:t>three</w:t>
      </w:r>
      <w:r>
        <w:rPr>
          <w:rFonts w:ascii="Arial" w:cs="Arial" w:eastAsia="Arial" w:hAnsi="Arial"/>
          <w:sz w:val="18"/>
          <w:szCs w:val="18"/>
          <w:color w:val="auto"/>
        </w:rPr>
        <w:t xml:space="preserve"> months ended March 31, 2024 compared to the same period in 2023 is primarily due to decreased income before income taxes.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2024, the Company has assessed whether it is more likely than not that the Company’s deferred tax assets will be realized. In making this determination, the Company considers all available positive and negative evidence and makes certain assumptions. The Company considers, among other things, the reversal of its deferred tax liabilities, the overall business environment, its historical earnings and losses, current industry trends and its outlook for future years. The Company believes it is more-likely-than-not all deferred tax assets will be realized and has not recorded any valuation allowance as of March 31, 2024.</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2024, the Company has a receivable of $3.2 million related to state income tax refund claims filed for prior tax years. The liability for unrecognized tax benefits includes $4.0 million of tax expense associated with these refund claims and tax uncertainties in various state jurisdictions due to the complexity of applying evolving state tax laws and uncertainties with respect to sustaining the Company’s refund claims. The Company believes it is not reasonably possible that the unrecognized tax benefits will significantly change during the next twelve months.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Income per Share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income per share is computed based on the weighted average number of shares of common stock outstanding during the period. Diluted net income per share is computed based on the weighted average number of common shares outstanding plus the effect of potentially dilutive common shares outstanding during the period using the applicable methods. The potentially dilutive common shares during the three months ended March 31, 2024 and 2023 include unvested and unexercised stock options, unvested time-based restricted stock units and unvested performance-based restricted stock units whose performance conditions have been satisfied. The potentially dilutive common shares during the same periods did not include performance-based restricted stock units if the performance conditions of these awards have not been satisfied. The potentially dilutive common shares are included in the calculation of diluted net income per share only when their effect is dilutive.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three months ended March 31, 2024 and 2023:</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Three Months Ended March 31,</w:t>
            </w:r>
          </w:p>
        </w:tc>
      </w:tr>
      <w:tr>
        <w:trPr>
          <w:trHeight w:val="229"/>
        </w:trPr>
        <w:tc>
          <w:tcPr>
            <w:tcW w:w="2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r>
      <w:tr>
        <w:trPr>
          <w:trHeight w:val="237"/>
        </w:trPr>
        <w:tc>
          <w:tcPr>
            <w:tcW w:w="20" w:type="dxa"/>
            <w:vAlign w:val="bottom"/>
            <w:shd w:val="clear" w:color="auto" w:fill="CCEEFF"/>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80" w:type="dxa"/>
            <w:vAlign w:val="bottom"/>
            <w:gridSpan w:val="4"/>
            <w:shd w:val="clear" w:color="auto" w:fill="CCEEFF"/>
          </w:tcPr>
          <w:p>
            <w:pPr>
              <w:jc w:val="right"/>
              <w:ind w:right="190"/>
              <w:spacing w:after="0"/>
              <w:rPr>
                <w:sz w:val="20"/>
                <w:szCs w:val="20"/>
                <w:color w:val="auto"/>
              </w:rPr>
            </w:pPr>
            <w:r>
              <w:rPr>
                <w:rFonts w:ascii="Arial" w:cs="Arial" w:eastAsia="Arial" w:hAnsi="Arial"/>
                <w:sz w:val="16"/>
                <w:szCs w:val="16"/>
                <w:i w:val="1"/>
                <w:iCs w:val="1"/>
                <w:color w:val="auto"/>
              </w:rPr>
              <w:t>(in thousands, except shares and per share data)</w:t>
            </w:r>
          </w:p>
        </w:tc>
      </w:tr>
      <w:tr>
        <w:trPr>
          <w:trHeight w:val="203"/>
        </w:trPr>
        <w:tc>
          <w:tcPr>
            <w:tcW w:w="20" w:type="dxa"/>
            <w:vAlign w:val="bottom"/>
          </w:tcPr>
          <w:p>
            <w:pPr>
              <w:spacing w:after="0"/>
              <w:rPr>
                <w:sz w:val="17"/>
                <w:szCs w:val="17"/>
                <w:color w:val="auto"/>
              </w:rPr>
            </w:pPr>
          </w:p>
        </w:tc>
        <w:tc>
          <w:tcPr>
            <w:tcW w:w="714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Basic net income per share:</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4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20" w:type="dxa"/>
            <w:vAlign w:val="bottom"/>
            <w:shd w:val="clear" w:color="auto" w:fill="CCEEFF"/>
          </w:tcPr>
          <w:p>
            <w:pPr>
              <w:spacing w:after="0"/>
              <w:rPr>
                <w:sz w:val="23"/>
                <w:szCs w:val="23"/>
                <w:color w:val="auto"/>
              </w:rPr>
            </w:pPr>
          </w:p>
        </w:tc>
        <w:tc>
          <w:tcPr>
            <w:tcW w:w="71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3"/>
        </w:trPr>
        <w:tc>
          <w:tcPr>
            <w:tcW w:w="20" w:type="dxa"/>
            <w:vAlign w:val="bottom"/>
          </w:tcPr>
          <w:p>
            <w:pPr>
              <w:spacing w:after="0"/>
              <w:rPr>
                <w:sz w:val="22"/>
                <w:szCs w:val="22"/>
                <w:color w:val="auto"/>
              </w:rPr>
            </w:pPr>
          </w:p>
        </w:tc>
        <w:tc>
          <w:tcPr>
            <w:tcW w:w="7140" w:type="dxa"/>
            <w:vAlign w:val="bottom"/>
            <w:gridSpan w:val="3"/>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5,087</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12,538</w:t>
            </w:r>
          </w:p>
        </w:tc>
      </w:tr>
      <w:tr>
        <w:trPr>
          <w:trHeight w:val="278"/>
        </w:trPr>
        <w:tc>
          <w:tcPr>
            <w:tcW w:w="20" w:type="dxa"/>
            <w:vAlign w:val="bottom"/>
            <w:shd w:val="clear" w:color="auto" w:fill="CCEEFF"/>
          </w:tcPr>
          <w:p>
            <w:pPr>
              <w:spacing w:after="0"/>
              <w:rPr>
                <w:sz w:val="24"/>
                <w:szCs w:val="24"/>
                <w:color w:val="auto"/>
              </w:rPr>
            </w:pPr>
          </w:p>
        </w:tc>
        <w:tc>
          <w:tcPr>
            <w:tcW w:w="714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Denominator</w:t>
            </w: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3"/>
        </w:trPr>
        <w:tc>
          <w:tcPr>
            <w:tcW w:w="20" w:type="dxa"/>
            <w:vAlign w:val="bottom"/>
            <w:tcBorders>
              <w:bottom w:val="single" w:sz="8" w:color="CCEEFF"/>
            </w:tcBorders>
          </w:tcPr>
          <w:p>
            <w:pPr>
              <w:spacing w:after="0"/>
              <w:rPr>
                <w:sz w:val="22"/>
                <w:szCs w:val="22"/>
                <w:color w:val="auto"/>
              </w:rPr>
            </w:pPr>
          </w:p>
        </w:tc>
        <w:tc>
          <w:tcPr>
            <w:tcW w:w="7140" w:type="dxa"/>
            <w:vAlign w:val="bottom"/>
            <w:tcBorders>
              <w:bottom w:val="single" w:sz="8" w:color="CCEEFF"/>
            </w:tcBorders>
            <w:gridSpan w:val="3"/>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118,926,170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123,122,014</w:t>
            </w:r>
          </w:p>
        </w:tc>
      </w:tr>
      <w:tr>
        <w:trPr>
          <w:trHeight w:val="295"/>
        </w:trPr>
        <w:tc>
          <w:tcPr>
            <w:tcW w:w="20" w:type="dxa"/>
            <w:vAlign w:val="bottom"/>
            <w:tcBorders>
              <w:bottom w:val="single" w:sz="8" w:color="CCEEFF"/>
            </w:tcBorders>
            <w:shd w:val="clear" w:color="auto" w:fill="CCEEFF"/>
          </w:tcPr>
          <w:p>
            <w:pPr>
              <w:spacing w:after="0"/>
              <w:rPr>
                <w:sz w:val="24"/>
                <w:szCs w:val="24"/>
                <w:color w:val="auto"/>
              </w:rPr>
            </w:pPr>
          </w:p>
        </w:tc>
        <w:tc>
          <w:tcPr>
            <w:tcW w:w="71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share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9"/>
              </w:rPr>
              <w:t>Diluted net income per share:</w:t>
            </w:r>
          </w:p>
        </w:tc>
        <w:tc>
          <w:tcPr>
            <w:tcW w:w="4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63"/>
        </w:trPr>
        <w:tc>
          <w:tcPr>
            <w:tcW w:w="20" w:type="dxa"/>
            <w:vAlign w:val="bottom"/>
          </w:tcPr>
          <w:p>
            <w:pPr>
              <w:spacing w:after="0"/>
              <w:rPr>
                <w:sz w:val="22"/>
                <w:szCs w:val="22"/>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71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Net income attributable to common stockholders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12,538</w:t>
            </w:r>
          </w:p>
        </w:tc>
      </w:tr>
      <w:tr>
        <w:trPr>
          <w:trHeight w:val="263"/>
        </w:trPr>
        <w:tc>
          <w:tcPr>
            <w:tcW w:w="20" w:type="dxa"/>
            <w:vAlign w:val="bottom"/>
          </w:tcPr>
          <w:p>
            <w:pPr>
              <w:spacing w:after="0"/>
              <w:rPr>
                <w:sz w:val="22"/>
                <w:szCs w:val="22"/>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20" w:type="dxa"/>
            <w:vAlign w:val="bottom"/>
            <w:shd w:val="clear" w:color="auto" w:fill="CCEEFF"/>
          </w:tcPr>
          <w:p>
            <w:pPr>
              <w:spacing w:after="0"/>
              <w:rPr>
                <w:sz w:val="24"/>
                <w:szCs w:val="24"/>
                <w:color w:val="auto"/>
              </w:rPr>
            </w:pPr>
          </w:p>
        </w:tc>
        <w:tc>
          <w:tcPr>
            <w:tcW w:w="71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118,926,170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123,122,014</w:t>
            </w:r>
          </w:p>
        </w:tc>
      </w:tr>
      <w:tr>
        <w:trPr>
          <w:trHeight w:val="270"/>
        </w:trPr>
        <w:tc>
          <w:tcPr>
            <w:tcW w:w="20" w:type="dxa"/>
            <w:vAlign w:val="bottom"/>
            <w:tcBorders>
              <w:bottom w:val="single" w:sz="8" w:color="CCEEFF"/>
            </w:tcBorders>
          </w:tcPr>
          <w:p>
            <w:pPr>
              <w:spacing w:after="0"/>
              <w:rPr>
                <w:sz w:val="23"/>
                <w:szCs w:val="23"/>
                <w:color w:val="auto"/>
              </w:rPr>
            </w:pPr>
          </w:p>
        </w:tc>
        <w:tc>
          <w:tcPr>
            <w:tcW w:w="7140" w:type="dxa"/>
            <w:vAlign w:val="bottom"/>
            <w:tcBorders>
              <w:bottom w:val="single" w:sz="8" w:color="CCEEFF"/>
            </w:tcBorders>
            <w:gridSpan w:val="3"/>
          </w:tcPr>
          <w:p>
            <w:pPr>
              <w:ind w:left="500"/>
              <w:spacing w:after="0"/>
              <w:rPr>
                <w:sz w:val="20"/>
                <w:szCs w:val="20"/>
                <w:color w:val="auto"/>
              </w:rPr>
            </w:pPr>
            <w:r>
              <w:rPr>
                <w:rFonts w:ascii="Arial" w:cs="Arial" w:eastAsia="Arial" w:hAnsi="Arial"/>
                <w:sz w:val="18"/>
                <w:szCs w:val="18"/>
                <w:color w:val="auto"/>
              </w:rPr>
              <w:t>Dilutive effect of time-based restricted stock units outstanding</w:t>
            </w:r>
          </w:p>
        </w:tc>
        <w:tc>
          <w:tcPr>
            <w:tcW w:w="2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490,214</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302,308</w:t>
            </w:r>
          </w:p>
        </w:tc>
      </w:tr>
      <w:tr>
        <w:trPr>
          <w:trHeight w:val="250"/>
        </w:trPr>
        <w:tc>
          <w:tcPr>
            <w:tcW w:w="20" w:type="dxa"/>
            <w:vAlign w:val="bottom"/>
            <w:shd w:val="clear" w:color="auto" w:fill="CCEEFF"/>
          </w:tcPr>
          <w:p>
            <w:pPr>
              <w:spacing w:after="0"/>
              <w:rPr>
                <w:sz w:val="21"/>
                <w:szCs w:val="21"/>
                <w:color w:val="auto"/>
              </w:rPr>
            </w:pPr>
          </w:p>
        </w:tc>
        <w:tc>
          <w:tcPr>
            <w:tcW w:w="71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119,416,384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123,424,322</w:t>
            </w:r>
          </w:p>
        </w:tc>
      </w:tr>
      <w:tr>
        <w:trPr>
          <w:trHeight w:val="264"/>
        </w:trPr>
        <w:tc>
          <w:tcPr>
            <w:tcW w:w="20" w:type="dxa"/>
            <w:vAlign w:val="bottom"/>
          </w:tcPr>
          <w:p>
            <w:pPr>
              <w:spacing w:after="0"/>
              <w:rPr>
                <w:sz w:val="22"/>
                <w:szCs w:val="22"/>
                <w:color w:val="auto"/>
              </w:rPr>
            </w:pPr>
          </w:p>
        </w:tc>
        <w:tc>
          <w:tcPr>
            <w:tcW w:w="7140" w:type="dxa"/>
            <w:vAlign w:val="bottom"/>
            <w:gridSpan w:val="3"/>
          </w:tcPr>
          <w:p>
            <w:pPr>
              <w:ind w:left="160"/>
              <w:spacing w:after="0"/>
              <w:rPr>
                <w:sz w:val="20"/>
                <w:szCs w:val="20"/>
                <w:color w:val="auto"/>
              </w:rPr>
            </w:pPr>
            <w:r>
              <w:rPr>
                <w:rFonts w:ascii="Arial" w:cs="Arial" w:eastAsia="Arial" w:hAnsi="Arial"/>
                <w:sz w:val="18"/>
                <w:szCs w:val="18"/>
                <w:b w:val="1"/>
                <w:bCs w:val="1"/>
                <w:color w:val="auto"/>
              </w:rPr>
              <w:t>Diluted net income per share attributable to common stockholders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0.10</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potentially dilutive outstanding securities as of March 31, 2024 and 2023 were excluded from the computation of diluted net income per share because their effect would have been anti-dilutive for the periods presented, or issuance of such shares is contingent upon the satisfaction of certain conditions that were not satisfied by the end of the periods:</w:t>
      </w:r>
    </w:p>
    <w:p>
      <w:pPr>
        <w:spacing w:after="0" w:line="10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8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2023</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and unexercised stock options</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133,219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155,897</w:t>
            </w:r>
          </w:p>
        </w:tc>
      </w:tr>
      <w:tr>
        <w:trPr>
          <w:trHeight w:val="230"/>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Unvested time-based restricted stock units</w:t>
            </w:r>
          </w:p>
        </w:tc>
        <w:tc>
          <w:tcPr>
            <w:tcW w:w="760" w:type="dxa"/>
            <w:vAlign w:val="bottom"/>
          </w:tcPr>
          <w:p>
            <w:pPr>
              <w:jc w:val="right"/>
              <w:spacing w:after="0"/>
              <w:rPr>
                <w:sz w:val="20"/>
                <w:szCs w:val="20"/>
                <w:color w:val="auto"/>
              </w:rPr>
            </w:pPr>
            <w:r>
              <w:rPr>
                <w:rFonts w:ascii="Arial" w:cs="Arial" w:eastAsia="Arial" w:hAnsi="Arial"/>
                <w:sz w:val="18"/>
                <w:szCs w:val="18"/>
                <w:color w:val="auto"/>
              </w:rPr>
              <w:t>200,662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362,751</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performance-based restricted stock units</w:t>
            </w:r>
          </w:p>
        </w:tc>
        <w:tc>
          <w:tcPr>
            <w:tcW w:w="1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149,393</w:t>
            </w:r>
          </w:p>
        </w:tc>
        <w:tc>
          <w:tcPr>
            <w:tcW w:w="10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159,965</w:t>
            </w:r>
          </w:p>
        </w:tc>
      </w:tr>
      <w:tr>
        <w:trPr>
          <w:trHeight w:val="223"/>
        </w:trPr>
        <w:tc>
          <w:tcPr>
            <w:tcW w:w="8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483,274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b w:val="1"/>
                <w:bCs w:val="1"/>
                <w:color w:val="auto"/>
              </w:rPr>
              <w:t>678,613</w:t>
            </w:r>
          </w:p>
        </w:tc>
      </w:tr>
      <w:tr>
        <w:trPr>
          <w:trHeight w:val="20"/>
        </w:trPr>
        <w:tc>
          <w:tcPr>
            <w:tcW w:w="7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of Financial Instruments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in an orderly transaction between market participants. In arriving at a fair value measurement, the Company uses a fair value hierarchy based on three levels of inputs, of which the first two are considered observable and the last unobservable. The three levels of inputs used to establish fair value are the following:</w:t>
      </w:r>
    </w:p>
    <w:p>
      <w:pPr>
        <w:spacing w:after="0" w:line="9"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63" w:lineRule="exact"/>
        <w:rPr>
          <w:rFonts w:ascii="Arial" w:cs="Arial" w:eastAsia="Arial" w:hAnsi="Arial"/>
          <w:sz w:val="18"/>
          <w:szCs w:val="18"/>
          <w:color w:val="auto"/>
        </w:rPr>
      </w:pPr>
    </w:p>
    <w:p>
      <w:pPr>
        <w:jc w:val="both"/>
        <w:ind w:left="1140" w:hanging="484"/>
        <w:spacing w:after="0" w:line="268"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8"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situations where there is little, if any, market activity for the asset or liability at the measurement date, the fair value measurement reflects the Company’s own judgments about the assumptions that market participants would use in pricing the asset or liability. Those judgments are developed by the Company based on the best information available in the circumstances, including expected cash flows and appropriately risk-adjusted discount rates, available observable and unobservable inputs.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are measured at fair value on a nonrecurring basis. These assets, including property and equipment and operating lease right-of-use asset, are subject to fair value adjustments whenever events or circumstances indicate the carrying value of the assets may not be recoverable and are subsequently written down to fair value when impaired. During the three months ended March 31, 2024 and 2023, the Company had no impairment charges related to its property and equipment or operating lease right-of-use asset.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measured at fair value on a recurring basis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11"/>
          </w:tcPr>
          <w:p>
            <w:pPr>
              <w:jc w:val="center"/>
              <w:ind w:right="290"/>
              <w:spacing w:after="0"/>
              <w:rPr>
                <w:sz w:val="20"/>
                <w:szCs w:val="20"/>
                <w:color w:val="auto"/>
              </w:rPr>
            </w:pPr>
            <w:r>
              <w:rPr>
                <w:rFonts w:ascii="Arial" w:cs="Arial" w:eastAsia="Arial" w:hAnsi="Arial"/>
                <w:sz w:val="18"/>
                <w:szCs w:val="18"/>
                <w:b w:val="1"/>
                <w:bCs w:val="1"/>
                <w:color w:val="auto"/>
                <w:w w:val="99"/>
              </w:rPr>
              <w:t>Fair value measurement as of March 31, 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center"/>
              <w:ind w:left="1052"/>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15,446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15,446</w:t>
            </w:r>
          </w:p>
        </w:tc>
        <w:tc>
          <w:tcPr>
            <w:tcW w:w="20" w:type="dxa"/>
            <w:vAlign w:val="bottom"/>
          </w:tcPr>
          <w:p>
            <w:pPr>
              <w:spacing w:after="0"/>
              <w:rPr>
                <w:sz w:val="19"/>
                <w:szCs w:val="19"/>
                <w:color w:val="auto"/>
              </w:rPr>
            </w:pPr>
          </w:p>
        </w:tc>
        <w:tc>
          <w:tcPr>
            <w:tcW w:w="700" w:type="dxa"/>
            <w:vAlign w:val="bottom"/>
            <w:gridSpan w:val="3"/>
          </w:tcPr>
          <w:p>
            <w:pPr>
              <w:jc w:val="center"/>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460" w:type="dxa"/>
            <w:vAlign w:val="bottom"/>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214,540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214,540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gridSpan w:val="2"/>
          </w:tcPr>
          <w:p>
            <w:pPr>
              <w:ind w:left="10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11"/>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 as of December 31, 2023</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1</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8"/>
                <w:szCs w:val="18"/>
                <w:b w:val="1"/>
                <w:bCs w:val="1"/>
                <w:color w:val="auto"/>
                <w:w w:val="98"/>
              </w:rPr>
              <w:t>Level 2</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center"/>
              <w:ind w:left="1072"/>
              <w:spacing w:after="0"/>
              <w:rPr>
                <w:sz w:val="20"/>
                <w:szCs w:val="20"/>
                <w:color w:val="auto"/>
              </w:rPr>
            </w:pPr>
            <w:r>
              <w:rPr>
                <w:rFonts w:ascii="Arial" w:cs="Arial" w:eastAsia="Arial" w:hAnsi="Arial"/>
                <w:sz w:val="16"/>
                <w:szCs w:val="16"/>
                <w:i w:val="1"/>
                <w:iCs w:val="1"/>
                <w:color w:val="auto"/>
              </w:rPr>
              <w:t>(in thousands)</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12,671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12,671</w:t>
            </w:r>
          </w:p>
        </w:tc>
        <w:tc>
          <w:tcPr>
            <w:tcW w:w="20" w:type="dxa"/>
            <w:vAlign w:val="bottom"/>
          </w:tcPr>
          <w:p>
            <w:pPr>
              <w:spacing w:after="0"/>
              <w:rPr>
                <w:sz w:val="19"/>
                <w:szCs w:val="19"/>
                <w:color w:val="auto"/>
              </w:rPr>
            </w:pPr>
          </w:p>
        </w:tc>
        <w:tc>
          <w:tcPr>
            <w:tcW w:w="700" w:type="dxa"/>
            <w:vAlign w:val="bottom"/>
            <w:gridSpan w:val="3"/>
          </w:tcPr>
          <w:p>
            <w:pPr>
              <w:jc w:val="center"/>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Treasury securities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211,792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center"/>
              <w:ind w:right="3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amounts reported in the unaudited Condensed Consolidated Balance Sheets as current assets or current liabilities, including </w:t>
      </w:r>
      <w:r>
        <w:rPr>
          <w:rFonts w:ascii="Arial" w:cs="Arial" w:eastAsia="Arial" w:hAnsi="Arial"/>
          <w:sz w:val="18"/>
          <w:szCs w:val="18"/>
          <w:i w:val="1"/>
          <w:iCs w:val="1"/>
          <w:color w:val="auto"/>
        </w:rPr>
        <w:t>Cash</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cash</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receivable, net</w:t>
      </w:r>
      <w:r>
        <w:rPr>
          <w:rFonts w:ascii="Arial" w:cs="Arial" w:eastAsia="Arial" w:hAnsi="Arial"/>
          <w:sz w:val="18"/>
          <w:szCs w:val="18"/>
          <w:color w:val="auto"/>
        </w:rPr>
        <w:t>,</w:t>
      </w:r>
      <w:r>
        <w:rPr>
          <w:rFonts w:ascii="Arial" w:cs="Arial" w:eastAsia="Arial" w:hAnsi="Arial"/>
          <w:sz w:val="18"/>
          <w:szCs w:val="18"/>
          <w:i w:val="1"/>
          <w:iCs w:val="1"/>
          <w:color w:val="auto"/>
        </w:rPr>
        <w:t xml:space="preserve"> Current contract assets, net</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assets</w:t>
      </w:r>
      <w:r>
        <w:rPr>
          <w:rFonts w:ascii="Arial" w:cs="Arial" w:eastAsia="Arial" w:hAnsi="Arial"/>
          <w:sz w:val="18"/>
          <w:szCs w:val="18"/>
          <w:color w:val="auto"/>
        </w:rPr>
        <w:t>,</w:t>
      </w:r>
      <w:r>
        <w:rPr>
          <w:rFonts w:ascii="Arial" w:cs="Arial" w:eastAsia="Arial" w:hAnsi="Arial"/>
          <w:sz w:val="18"/>
          <w:szCs w:val="18"/>
          <w:i w:val="1"/>
          <w:iCs w:val="1"/>
          <w:color w:val="auto"/>
        </w:rPr>
        <w:t xml:space="preserve"> Accounts payable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expenses</w:t>
      </w:r>
      <w:r>
        <w:rPr>
          <w:rFonts w:ascii="Arial" w:cs="Arial" w:eastAsia="Arial" w:hAnsi="Arial"/>
          <w:sz w:val="18"/>
          <w:szCs w:val="18"/>
          <w:color w:val="auto"/>
        </w:rPr>
        <w:t>, each</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 due to the short-term maturities of the instruments.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fair value of financial assets that are not measured at fair value: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March 31, 2024</w:t>
            </w:r>
          </w:p>
        </w:tc>
        <w:tc>
          <w:tcPr>
            <w:tcW w:w="1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3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19"/>
                <w:szCs w:val="19"/>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Carrying value</w:t>
            </w:r>
          </w:p>
        </w:tc>
        <w:tc>
          <w:tcPr>
            <w:tcW w:w="280" w:type="dxa"/>
            <w:vAlign w:val="bottom"/>
          </w:tcPr>
          <w:p>
            <w:pPr>
              <w:spacing w:after="0"/>
              <w:rPr>
                <w:sz w:val="19"/>
                <w:szCs w:val="19"/>
                <w:color w:val="auto"/>
              </w:rPr>
            </w:pPr>
          </w:p>
        </w:tc>
        <w:tc>
          <w:tcPr>
            <w:tcW w:w="148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3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29"/>
        </w:trPr>
        <w:tc>
          <w:tcPr>
            <w:tcW w:w="3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143,198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144,045</w:t>
            </w: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144,045</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OPEN LENDING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carrying amount of the Company’s debt approximates its fair value due to its variable interest rate. The fair value was determined using the Adjusted SOFR as of March 31, 2024 and December 31, 2023 plus an applicable spread, a Level 2 classification in the fair value hierarchy.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Company’s accounting policy is to recognize transfers between levels of the fair value hierarchy on the date of the event or change in circumstances that caused the transfer. There were no transfers into or out of any level for the periods ended March 31, 2024 and December 31, 2023.</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provides information that management believes is relevant to an assessment and understanding of Open Lending Corporation’s unaudited condensed consolidated results of operations and financial condition. The discussion should be read in conjunction with the audited consolidated financial statements and notes thereto in our Annual Report. This discussion contains forward-looking statements and involves numerous risks and uncertainties, including, but not limited to, those described under the heading “Risk Factors” set forth elsewhere in this Quarterly Report on Form 10-Q (this “Quarterly Report”) and our Annual Report. Actual results may differ materially from those contained in any forward-looking statements. Unless the context otherwise requires, references in this “Management’s Discussion and Analysis of Financial Condition and Results of Operations” is intended to mean the business and operations of Open Lending Corporation and its consolidated subsidiaries.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Quarterly Report contains forward-looking statements within the meaning of Section 27A of the Securities Act of 1933, as amended, and Section 21E of the Securities Exchange Act of 1934, as amended (the “Exchange Act”), that involve substantial risks and uncertainties. Forward-looking statements generally relate to future events or our future financial or operating performance. In some cases, you can identify forward-looking statements because they contain words such as “may,” “will,” “appears,”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include, but are not limited to, statements about:</w:t>
      </w:r>
    </w:p>
    <w:p>
      <w:pPr>
        <w:spacing w:after="0" w:line="75" w:lineRule="exact"/>
        <w:rPr>
          <w:sz w:val="20"/>
          <w:szCs w:val="20"/>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44"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relative strength of the overall economy, including its effect on unemployment, consumer spending and consumer demand for automotive products;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turnover in automotive lenders, as well as varying activation rates and volatility in usage of LPP by automotive lenders;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growth in loan volume from our top ten automotive lenders relative to that of other automotive lenders and associated concentration of risks;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services in absolute dollars and as a percentage of revenue;</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administrative expenses, selling and marketing expenses and research and development expenses in absolute dollars and as a percentage of revenue;</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projected operating cash flows and available cash on hand on our business operations in the future;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regulatory requirements, including federal and state consumer lending and consumer protection laws;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the Nasdaq Stock Market LLC;</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agreements between us and state agencies regarding issues including automotive lender conduct and oversight and loan pricing;</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applicable laws or regulations; and</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applicable taxes, inflation, supply chain disruptions, including global hostilities and responses thereto, interest rates and the regulatory environment.</w:t>
      </w:r>
    </w:p>
    <w:p>
      <w:pPr>
        <w:spacing w:after="0" w:line="4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forward-looking statements are based on information and estimates available to us at the time of this Quarterly Report and are not guarantees of future financial performance.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described in the section titled “Risk Factors” and elsewhere in this Quarterly Report and our Annual Report. We caution you that the foregoing list may not contain all of the forward-looking statements made in this Quarterly Report. You should not rely upon forward-looking statements as predictions of future events.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leading provider of lending enablement and risk analytics to credit unions, regional banks, finance companies and the captive finance companies of automakers. Our customers, collectively referred to herein as automotive lenders, make automotive consumer loans to underserved near-prime and non-prime borrowers by harnessing our risk-based interest rate pricing models, powered by our proprietary data and real-time underwriting of automotive loan default insurance coverage from insurers. Since our inception in 2000, we have facilitated over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$22.7 billion in automotive loans, accumulated more than 20 years of proprietary data and developed over two million unique risk profiles. We currently serve 389 active lenders.</w:t>
      </w:r>
    </w:p>
    <w:p>
      <w:pPr>
        <w:spacing w:after="0" w:line="4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specialize in risk-based pricing and modeling and provide automated decision-technology for automotive lenders throughout the U.S. We target the financing needs of near-prime and non-prime borrowers, or borrowers with a credit bureau score generally between 560 and 699, who are underserved in the automotive finance industry. Traditional lenders focus on prime borrowers, where an efficient market has developed with interest rate competition that benefits borrowers. Independent finance companies focus on sub-prime borrowers. Borrowers who must utilize the near-prime and non-prime automotive lending market have fewer lenders focused on loans with longer terms or higher advance rates. As a result, many near-prime and non-prime borrowers turn to sub-prime lenders, resulting in higher interest rate loan offerings than such borrower’s credit profile often merits or warrants. We seek to make this market more competitive, resulting in more attractive loan terms.</w:t>
      </w:r>
    </w:p>
    <w:p>
      <w:pPr>
        <w:spacing w:after="0" w:line="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flagship product, LPP, is a cloud-based automotive lending enablement platform. LPP supports loans made to near-prime and non-prime borrowers and is designed to underwrite default insurance by linking automotive lenders to insurance companies. The platform uses risk-based pricing models which enable automotive lenders to assess the credit risk of a potential borrower using data driven analysis. Our proprietary risk models project loan performance, including expected losses and prepayments in arriving at the optimal rate. With five-second decisioning, LPP recommends a risk-based, all-inclusive interest rate for a loan that is customized to each automotive lender, reflecting cost of capital, loan servicing and acquisition costs, expected recovery rates and target return on assets. LPP risk models use a proprietary score in assessing and pricing risk on automotive loan applications. This score combines credit bureau data and Fair Credit Reporting Act-compliant alternative consumer data to more effectively assess risk and determine the appropriate insurance premium for any given loan application.</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LPP is powered by technology that delivers speed and scalability in providing interest rate decisioning to automotive lenders. It supports the full transaction lifecycle, including credit application, underwriting, real-time insurance approval, settlement, servicing, invoicing of insurance premiums and fees and advance data analytics of automotive lender’s portfolio under the program. Through electronic system integration, our software technology connects us to parties in our ecosystem.</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key element of LPP is the unique database that drives risk decisioning using data accumulated for more than 20 years. When a loan is insured at origination, all attributes of the transaction are stored in our database. Through the claims management process, we ultimately obtain loan life performance data on each insured loan. Having granular origination and performance data allows our data scientists and actuaries to constantly evolve and refine risk models, based on actual experience and third-party information sources.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the automotive industry is still seeking solutions to address the near-prime and non-prime borrower market. The near-prime and non-prime automotive loan origination market is a large, underserved sector, estimated at $270 billion annually. We currently serve approximately 1% of this market, providing a significant growth opportunity. In addition, our market opportunity related to the refinancing of near-prime and non-prime automotive loans is estimated at $40 billion annually.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17"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facilitate certified loans and have achieved financial success by targeting the financing needs of near-prime and non-prime borrowers who are underserved in the automotive finance industry.</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facilitated 28,189 certified loans during the three months ended March 31, 2024, as compared to 32,408 certified loans during the three months ended March 31, 2023.</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Total revenue was $30.7 million for the three months ended March 31, 2024, as compared to $38.4 million during the three months ended March 31, 2023.</w:t>
      </w:r>
    </w:p>
    <w:p>
      <w:pPr>
        <w:spacing w:after="0" w:line="4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Operating income was $7.3 million for the three months ended March 31, 2024, as compared to $17.1 million in the three months ended March 31,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income was $5.1 million for the three months ended March 31, 2024, as compared to net income of $12.5 million for the three months ended March 31, 2023.</w:t>
      </w:r>
    </w:p>
    <w:p>
      <w:pPr>
        <w:spacing w:after="0" w:line="4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Adjusted EBITDA was $12.5 million for the three months ended March 31, 2024, as compared to $21.2 million during the three months ended March 31, 2023. Information regarding use of Adjusted EBITDA, a non-GAAP</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measure, and a reconciliation of Adjusted EBITDA to net income, the most comparable GAAP measure, is included in </w:t>
      </w:r>
      <w:r>
        <w:rPr>
          <w:rFonts w:ascii="Arial" w:cs="Arial" w:eastAsia="Arial" w:hAnsi="Arial"/>
          <w:sz w:val="18"/>
          <w:szCs w:val="18"/>
          <w:i w:val="1"/>
          <w:iCs w:val="1"/>
          <w:color w:val="auto"/>
        </w:rPr>
        <w:t>“Non-GAAP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below summarizes the dollar value of insured loans facilitated and the number of new contracts we signed with automotive lenders for the three months ended March 31, 2024 and 2023.</w:t>
      </w:r>
    </w:p>
    <w:p>
      <w:pPr>
        <w:spacing w:after="0" w:line="72"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3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6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32,408</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Value of insured loans facilitated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787,833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951,893</w:t>
            </w:r>
          </w:p>
        </w:tc>
      </w:tr>
      <w:tr>
        <w:trPr>
          <w:trHeight w:val="229"/>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loan size per certified loan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w:t>
            </w:r>
          </w:p>
        </w:tc>
      </w:tr>
      <w:tr>
        <w:trPr>
          <w:trHeight w:val="239"/>
        </w:trPr>
        <w:tc>
          <w:tcPr>
            <w:tcW w:w="7360" w:type="dxa"/>
            <w:vAlign w:val="bottom"/>
          </w:tcPr>
          <w:p>
            <w:pPr>
              <w:ind w:left="20"/>
              <w:spacing w:after="0"/>
              <w:rPr>
                <w:sz w:val="20"/>
                <w:szCs w:val="20"/>
                <w:color w:val="auto"/>
              </w:rPr>
            </w:pPr>
            <w:r>
              <w:rPr>
                <w:rFonts w:ascii="Arial" w:cs="Arial" w:eastAsia="Arial" w:hAnsi="Arial"/>
                <w:sz w:val="18"/>
                <w:szCs w:val="18"/>
                <w:color w:val="auto"/>
              </w:rPr>
              <w:t>Number of contracts signed with automotive lenders</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define “active lenders” as lenders who certify at least one loan during the preceding 12 months. As of March 31, 2024 and 2023, we had 389 and 437 active lenders, respectively. The table below represents lender count information for lenders with certified loan activity during the periods indicated.</w:t>
      </w:r>
    </w:p>
    <w:p>
      <w:pPr>
        <w:spacing w:after="0" w:line="238"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Lenders certifying loans at beginning of period</w:t>
            </w: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8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New lenders </w:t>
            </w:r>
            <w:r>
              <w:rPr>
                <w:rFonts w:ascii="Arial" w:cs="Arial" w:eastAsia="Arial" w:hAnsi="Arial"/>
                <w:sz w:val="23"/>
                <w:szCs w:val="23"/>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change in lenders </w:t>
            </w:r>
            <w:r>
              <w:rPr>
                <w:rFonts w:ascii="Arial" w:cs="Arial" w:eastAsia="Arial" w:hAnsi="Arial"/>
                <w:sz w:val="23"/>
                <w:szCs w:val="23"/>
                <w:color w:val="auto"/>
                <w:vertAlign w:val="superscript"/>
              </w:rPr>
              <w:t>(2)</w:t>
            </w:r>
          </w:p>
        </w:tc>
        <w:tc>
          <w:tcPr>
            <w:tcW w:w="12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Lenders certifying loans at end of period</w:t>
            </w:r>
          </w:p>
        </w:tc>
        <w:tc>
          <w:tcPr>
            <w:tcW w:w="5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0"/>
        </w:trPr>
        <w:tc>
          <w:tcPr>
            <w:tcW w:w="7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New lenders using LPP to certify loans for the first time during the period.</w:t>
      </w:r>
    </w:p>
    <w:p>
      <w:pPr>
        <w:spacing w:after="0" w:line="21" w:lineRule="exact"/>
        <w:rPr>
          <w:rFonts w:ascii="Arial" w:cs="Arial" w:eastAsia="Arial" w:hAnsi="Arial"/>
          <w:sz w:val="16"/>
          <w:szCs w:val="16"/>
          <w:color w:val="auto"/>
        </w:rPr>
      </w:pPr>
    </w:p>
    <w:p>
      <w:pPr>
        <w:ind w:right="640" w:firstLine="8"/>
        <w:spacing w:after="0" w:line="265" w:lineRule="auto"/>
        <w:tabs>
          <w:tab w:leader="none" w:pos="243"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change in the number of lenders previously onboarded who use LPP to certify loans during the period. Certain lenders experience periods of inactivity followed by periods of activity, causing the lender count to fluctuate from period to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several key performance measures, discussed below, to evaluate business and results, measure performance, identify trends, formulate plans and make strategic decisions. We believe that the presentation of such metrics is useful to our investors and counterparties because such metrics are used to measure and model the performance of similar companies, with recurring revenue streams.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Certified Loans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refer to “certified loans” as the loans facilitated through LPP during a given period. Additionally, we refer to loans with a one-time upfront program fee payment as “single-pay” loans. For certain loans, the program fee is paid to us over 12 monthly installments and we refer to these loans as “monthly-pay” loans.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Program Fee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define “average program fee” as the total program fee revenue recognized for a period divided by the number of certified loans in that period.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Profit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define “underwriting profit” as the total underwriting profit expected to be received by insurers over the expected life of the certified loans.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Earned Premium</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define “earned premium” as the total insurance premium earned by insurers in a given period. Earned premiums were $85.1 million and $81.8 million, for the three months ended March 31, 2024 and 2023, respectively.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Operating Results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future operating results and cash flows are dependent upon a number of opportunities, challenges and other factors, including the growth in the number of financial institutions and transaction volume, competition, profit share assumptions and industry trends and general economic conditions. Key factors affecting our operating results include the following: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the Number of Financial Institutions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growth trend in active automotive lenders using LPP is a critical factor directly affecting revenue and financial results as it influences the number of loans funded on LPP. Growth in our active automotive lender relationships will depend on our ability to retain existing automotive lenders and add new ones.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face competition to acquire and maintain automotive lenders as customers, as well as competition to facilitate the funding of near-prime and non-prime auto loans. LPP, which combines lending enablement, risk analytics, near-prime and non-prime auto loan performance data, real-time loan decisioning, risk-based pricing and auto loan default insurance, is a unique solution for which we have not identified any direct competitors. The emergence of direct competitors, providing risk, analytics and loss mitigation, which are core elements of our business, could materially impact our ability to acquire and maintain automotive lender customers. The near-prime and non-prime lending market is highly fragmented and competitive. We face competition from a diverse landscape of consumer lenders, including traditional banks and credit unions, as well as alternative technology-enabled lenders. The emergence of other insurers, in competition with our insurers, could materially impact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Share Assumptions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rely on assumptions to calculate the value of profit share revenue, which is our share of insurance partners’ underwriting profit. For example, positive change in estimates associated with historic vintages generate an increase in our contract asset, additional revenues and future expected cash flows, while negative change in estimates generate a decrease in our contract asset, a reduction in revenues and future expected cash flows. Please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for more information on these assumptions.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 and General Economic Conditions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results of operations have been and may continue to be impacted by the relative strength of the overall economy and its effect on unemployment, consumer spending, consumer demand for automotive financing and our lender customer’s liquidity. As general economic conditions improve or deteriorate, the amount of disposable income consumers have tends to fluctuate, which in turn impacts consumer spending levels and the willingness of consumers to enter into loans to finance purchases and consumers’ ability to afford financial obligations. Specific economic factors such as inflation, rising interest rate levels, changes in monetary and related policies, market volatility, supply chain disruptions, consumer confidence and, particularly, the unemployment rate also influence consumer spending and borrowing patterns.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largest insurance carrier partners accounted for 39% and 10% of our total revenue during the three months ended March 31, 2024, and 33% and 12% during the three months ended March 31, 2023.</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revenue is generated through three streams: (i) program fees paid to us by automotive lenders, (ii) profit share paid to us by insurance partners and (iii) claims administration service fees paid to us by insurance partners.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Program fees</w:t>
      </w:r>
      <w:r>
        <w:rPr>
          <w:rFonts w:ascii="Arial" w:cs="Arial" w:eastAsia="Arial" w:hAnsi="Arial"/>
          <w:sz w:val="18"/>
          <w:szCs w:val="18"/>
          <w:color w:val="auto"/>
        </w:rPr>
        <w:t>. Program fees are paid by automotive lenders for the use of LPP, which provides loan analytics solutions and automated</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credit default insurance with third-party insurance providers. These fees are based on a percentage of each certified loan’s original principal balance and are recognized as revenue upfront upon certification of the loan by the lending institution. The fee percentage rate varies based on the agreement with each lender. For loans with a one-time upfront payment, there is a sliding scale of rates representing volume discounts for certain lenders. Fees are calculated as a percentage of the funded loan amount and may be subject to a cap. For monthly-pay loans, the fee paid by the lender is typically 3% of the initial amount of the loan and is not capped.</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Profit share. </w:t>
      </w:r>
      <w:r>
        <w:rPr>
          <w:rFonts w:ascii="Arial" w:cs="Arial" w:eastAsia="Arial" w:hAnsi="Arial"/>
          <w:sz w:val="18"/>
          <w:szCs w:val="18"/>
          <w:color w:val="auto"/>
        </w:rPr>
        <w:t>Profit share represents our participation in the underwriting profit of third-party insurance partners who provide automotive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with credit default insurance on loans those lenders make using LPP. We receive a percentage of the aggregate monthly insurance underwriting profit. Monthly insurance underwriting profit is calculated as the monthly earned premium less expenses and losses (including reserves for incurred but not reported losses), with losses accrued and carried forward to future profit share calculations.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Claims administration service fees. </w:t>
      </w:r>
      <w:r>
        <w:rPr>
          <w:rFonts w:ascii="Arial" w:cs="Arial" w:eastAsia="Arial" w:hAnsi="Arial"/>
          <w:sz w:val="18"/>
          <w:szCs w:val="18"/>
          <w:color w:val="auto"/>
        </w:rPr>
        <w:t>Claims administration service fees are paid to us by third-party insurance carrier partners for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default insurance claims adjudication services performed by our subsidiary, Insurance Administrative Services, LLC, on its insured servicing portfolio. The administration fee is equal to 3% of the monthly insurance earned premium for as long as the LPP certified loan remains outstanding.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and Operating Expenses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Cost of services primarily consists of fees paid to third-party partners for lead-generation efforts,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employees engaged in automotive lender customer service, product support and claims administration activities, fees paid for actuarial services related to the development of the monthly premium program, fees for integration with the loan origination systems of automotive lenders and fees paid to credit bureaus and data service providers for credit applicant data. In the near term, we generally expect cost of services to remain constant as a percentage of our program fee revenue.</w:t>
      </w:r>
    </w:p>
    <w:p>
      <w:pPr>
        <w:spacing w:after="0" w:line="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are comprised primarily of expenses relating to corporate-level</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compensation and benefits, non-cash share-based compensation, travel, meals and entertainment expenses, data and software expenses and professional and consulting fees. In the near term, we expect general and administrative expenses to remain constant.</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Selling and marketing expenses. </w:t>
      </w:r>
      <w:r>
        <w:rPr>
          <w:rFonts w:ascii="Arial" w:cs="Arial" w:eastAsia="Arial" w:hAnsi="Arial"/>
          <w:sz w:val="18"/>
          <w:szCs w:val="18"/>
          <w:color w:val="auto"/>
        </w:rPr>
        <w:t>Selling and marketing expenses consist primarily of compensation and benefits of employees engaged in</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and marketing activities. We generally expect selling and marketing expenses to increase as a percentage of our program fee revenue in the near term as we focus on our go-to-market strategy.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primarily consist of employee compensation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for employees engaged in ongoing research and development of our software technology platform. We generally expect our research and development expenses to remain constant in the near term as we continue to invest in our products and services.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primarily includes interest payments and the amortization of deferred financing costs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issuance of our debt.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primarily includes interest earned on money market funds and U.S. Treasury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Results of Operations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316"/>
        </w:trPr>
        <w:tc>
          <w:tcPr>
            <w:tcW w:w="9700" w:type="dxa"/>
            <w:vAlign w:val="bottom"/>
            <w:gridSpan w:val="8"/>
          </w:tcPr>
          <w:p>
            <w:pPr>
              <w:spacing w:after="0"/>
              <w:rPr>
                <w:sz w:val="20"/>
                <w:szCs w:val="20"/>
                <w:color w:val="auto"/>
              </w:rPr>
            </w:pPr>
            <w:r>
              <w:rPr>
                <w:rFonts w:ascii="Arial" w:cs="Arial" w:eastAsia="Arial" w:hAnsi="Arial"/>
                <w:sz w:val="18"/>
                <w:szCs w:val="18"/>
                <w:color w:val="auto"/>
              </w:rPr>
              <w:t>The following table sets forth our results of operations for the three months ended March 31, 2024 and 2023:</w:t>
            </w:r>
          </w:p>
        </w:tc>
        <w:tc>
          <w:tcPr>
            <w:tcW w:w="1480" w:type="dxa"/>
            <w:vAlign w:val="bottom"/>
          </w:tcPr>
          <w:p>
            <w:pPr>
              <w:spacing w:after="0"/>
              <w:rPr>
                <w:sz w:val="24"/>
                <w:szCs w:val="24"/>
                <w:color w:val="auto"/>
              </w:rPr>
            </w:pPr>
          </w:p>
        </w:tc>
      </w:tr>
      <w:tr>
        <w:trPr>
          <w:trHeight w:val="381"/>
        </w:trPr>
        <w:tc>
          <w:tcPr>
            <w:tcW w:w="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47"/>
        </w:trPr>
        <w:tc>
          <w:tcPr>
            <w:tcW w:w="80" w:type="dxa"/>
            <w:vAlign w:val="bottom"/>
          </w:tcPr>
          <w:p>
            <w:pPr>
              <w:spacing w:after="0"/>
              <w:rPr>
                <w:sz w:val="21"/>
                <w:szCs w:val="21"/>
                <w:color w:val="auto"/>
              </w:rPr>
            </w:pPr>
          </w:p>
        </w:tc>
        <w:tc>
          <w:tcPr>
            <w:tcW w:w="6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480" w:type="dxa"/>
            <w:vAlign w:val="bottom"/>
          </w:tcPr>
          <w:p>
            <w:pPr>
              <w:spacing w:after="0"/>
              <w:rPr>
                <w:sz w:val="21"/>
                <w:szCs w:val="21"/>
                <w:color w:val="auto"/>
              </w:rPr>
            </w:pPr>
          </w:p>
        </w:tc>
      </w:tr>
      <w:tr>
        <w:trPr>
          <w:trHeight w:val="23"/>
        </w:trPr>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7"/>
        </w:trPr>
        <w:tc>
          <w:tcPr>
            <w:tcW w:w="80" w:type="dxa"/>
            <w:vAlign w:val="bottom"/>
          </w:tcPr>
          <w:p>
            <w:pPr>
              <w:spacing w:after="0"/>
              <w:rPr>
                <w:sz w:val="21"/>
                <w:szCs w:val="21"/>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Program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17,301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
        </w:trPr>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Profit share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18,602</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7"/>
        </w:trPr>
        <w:tc>
          <w:tcPr>
            <w:tcW w:w="80" w:type="dxa"/>
            <w:vAlign w:val="bottom"/>
          </w:tcPr>
          <w:p>
            <w:pPr>
              <w:spacing w:after="0"/>
              <w:rPr>
                <w:sz w:val="21"/>
                <w:szCs w:val="21"/>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Claims administration and other service fees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2,458</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3"/>
        </w:trPr>
        <w:tc>
          <w:tcPr>
            <w:tcW w:w="80" w:type="dxa"/>
            <w:vAlign w:val="bottom"/>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38,361</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r>
      <w:tr>
        <w:trPr>
          <w:trHeight w:val="263"/>
        </w:trPr>
        <w:tc>
          <w:tcPr>
            <w:tcW w:w="80" w:type="dxa"/>
            <w:vAlign w:val="bottom"/>
          </w:tcPr>
          <w:p>
            <w:pPr>
              <w:spacing w:after="0"/>
              <w:rPr>
                <w:sz w:val="22"/>
                <w:szCs w:val="22"/>
                <w:color w:val="auto"/>
              </w:rPr>
            </w:pPr>
          </w:p>
        </w:tc>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services</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r>
      <w:tr>
        <w:trPr>
          <w:trHeight w:val="270"/>
        </w:trPr>
        <w:tc>
          <w:tcPr>
            <w:tcW w:w="80" w:type="dxa"/>
            <w:vAlign w:val="bottom"/>
          </w:tcPr>
          <w:p>
            <w:pPr>
              <w:spacing w:after="0"/>
              <w:rPr>
                <w:sz w:val="23"/>
                <w:szCs w:val="23"/>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32,930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r>
      <w:tr>
        <w:trPr>
          <w:trHeight w:val="263"/>
        </w:trPr>
        <w:tc>
          <w:tcPr>
            <w:tcW w:w="80" w:type="dxa"/>
            <w:vAlign w:val="bottom"/>
          </w:tcPr>
          <w:p>
            <w:pPr>
              <w:spacing w:after="0"/>
              <w:rPr>
                <w:sz w:val="22"/>
                <w:szCs w:val="22"/>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58"/>
        </w:trPr>
        <w:tc>
          <w:tcPr>
            <w:tcW w:w="80" w:type="dxa"/>
            <w:vAlign w:val="bottom"/>
          </w:tcPr>
          <w:p>
            <w:pPr>
              <w:spacing w:after="0"/>
              <w:rPr>
                <w:sz w:val="22"/>
                <w:szCs w:val="22"/>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7"/>
        </w:trPr>
        <w:tc>
          <w:tcPr>
            <w:tcW w:w="80" w:type="dxa"/>
            <w:vAlign w:val="bottom"/>
          </w:tcPr>
          <w:p>
            <w:pPr>
              <w:spacing w:after="0"/>
              <w:rPr>
                <w:sz w:val="21"/>
                <w:szCs w:val="21"/>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4,409</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
        </w:trPr>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63"/>
        </w:trPr>
        <w:tc>
          <w:tcPr>
            <w:tcW w:w="80" w:type="dxa"/>
            <w:vAlign w:val="bottom"/>
          </w:tcPr>
          <w:p>
            <w:pPr>
              <w:spacing w:after="0"/>
              <w:rPr>
                <w:sz w:val="22"/>
                <w:szCs w:val="22"/>
                <w:color w:val="auto"/>
              </w:rPr>
            </w:pPr>
          </w:p>
        </w:tc>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17,672</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15,834</w:t>
            </w:r>
          </w:p>
        </w:tc>
        <w:tc>
          <w:tcPr>
            <w:tcW w:w="140" w:type="dxa"/>
            <w:vAlign w:val="bottom"/>
            <w:tcBorders>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r>
      <w:tr>
        <w:trPr>
          <w:trHeight w:val="263"/>
        </w:trPr>
        <w:tc>
          <w:tcPr>
            <w:tcW w:w="80" w:type="dxa"/>
            <w:vAlign w:val="bottom"/>
          </w:tcPr>
          <w:p>
            <w:pPr>
              <w:spacing w:after="0"/>
              <w:rPr>
                <w:sz w:val="22"/>
                <w:szCs w:val="22"/>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17,096</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r>
      <w:tr>
        <w:trPr>
          <w:trHeight w:val="247"/>
        </w:trPr>
        <w:tc>
          <w:tcPr>
            <w:tcW w:w="80" w:type="dxa"/>
            <w:vAlign w:val="bottom"/>
          </w:tcPr>
          <w:p>
            <w:pPr>
              <w:spacing w:after="0"/>
              <w:rPr>
                <w:sz w:val="21"/>
                <w:szCs w:val="21"/>
                <w:color w:val="auto"/>
              </w:rPr>
            </w:pPr>
          </w:p>
        </w:tc>
        <w:tc>
          <w:tcPr>
            <w:tcW w:w="6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3"/>
        </w:trPr>
        <w:tc>
          <w:tcPr>
            <w:tcW w:w="8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56"/>
        </w:trPr>
        <w:tc>
          <w:tcPr>
            <w:tcW w:w="80" w:type="dxa"/>
            <w:vAlign w:val="bottom"/>
          </w:tcPr>
          <w:p>
            <w:pPr>
              <w:spacing w:after="0"/>
              <w:rPr>
                <w:sz w:val="22"/>
                <w:szCs w:val="22"/>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7,524</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16,773</w:t>
            </w:r>
          </w:p>
        </w:tc>
        <w:tc>
          <w:tcPr>
            <w:tcW w:w="140" w:type="dxa"/>
            <w:vAlign w:val="bottom"/>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r>
      <w:tr>
        <w:trPr>
          <w:trHeight w:val="271"/>
        </w:trPr>
        <w:tc>
          <w:tcPr>
            <w:tcW w:w="80" w:type="dxa"/>
            <w:vAlign w:val="bottom"/>
          </w:tcPr>
          <w:p>
            <w:pPr>
              <w:spacing w:after="0"/>
              <w:rPr>
                <w:sz w:val="23"/>
                <w:szCs w:val="23"/>
                <w:color w:val="auto"/>
              </w:rPr>
            </w:pPr>
          </w:p>
        </w:tc>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0" w:type="dxa"/>
            <w:vAlign w:val="bottom"/>
          </w:tcPr>
          <w:p>
            <w:pPr>
              <w:spacing w:after="0"/>
              <w:rPr>
                <w:sz w:val="23"/>
                <w:szCs w:val="23"/>
                <w:color w:val="auto"/>
              </w:rPr>
            </w:pPr>
          </w:p>
        </w:tc>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5,087</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12,538</w:t>
            </w:r>
          </w:p>
        </w:tc>
        <w:tc>
          <w:tcPr>
            <w:tcW w:w="14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r>
      <w:tr>
        <w:trPr>
          <w:trHeight w:val="21"/>
        </w:trPr>
        <w:tc>
          <w:tcPr>
            <w:tcW w:w="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key performance measures for the three months ended March 31, 2024 and 2023:</w:t>
      </w:r>
    </w:p>
    <w:p>
      <w:pPr>
        <w:spacing w:after="0" w:line="158" w:lineRule="exact"/>
        <w:rPr>
          <w:sz w:val="20"/>
          <w:szCs w:val="20"/>
          <w:color w:val="auto"/>
        </w:rPr>
      </w:pPr>
    </w:p>
    <w:tbl>
      <w:tblPr>
        <w:tblLayout w:type="fixed"/>
        <w:tblInd w:w="80" w:type="dxa"/>
        <w:tblCellMar>
          <w:top w:w="0" w:type="dxa"/>
          <w:left w:w="0" w:type="dxa"/>
          <w:bottom w:w="0" w:type="dxa"/>
          <w:right w:w="0" w:type="dxa"/>
        </w:tblCellMar>
      </w:tblPr>
      <w:tr>
        <w:trPr>
          <w:trHeight w:val="255"/>
        </w:trPr>
        <w:tc>
          <w:tcPr>
            <w:tcW w:w="6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80" w:type="dxa"/>
            <w:vAlign w:val="bottom"/>
            <w:tcBorders>
              <w:bottom w:val="single" w:sz="8" w:color="auto"/>
            </w:tcBorders>
            <w:gridSpan w:val="6"/>
          </w:tcPr>
          <w:p>
            <w:pPr>
              <w:jc w:val="right"/>
              <w:ind w:right="77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6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Certified loans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7"/>
        </w:trPr>
        <w:tc>
          <w:tcPr>
            <w:tcW w:w="6740" w:type="dxa"/>
            <w:vAlign w:val="bottom"/>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27,534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7"/>
        </w:trPr>
        <w:tc>
          <w:tcPr>
            <w:tcW w:w="6740" w:type="dxa"/>
            <w:vAlign w:val="bottom"/>
          </w:tcPr>
          <w:p>
            <w:pPr>
              <w:ind w:left="20"/>
              <w:spacing w:after="0"/>
              <w:rPr>
                <w:sz w:val="20"/>
                <w:szCs w:val="20"/>
                <w:color w:val="auto"/>
              </w:rPr>
            </w:pPr>
            <w:r>
              <w:rPr>
                <w:rFonts w:ascii="Arial" w:cs="Arial" w:eastAsia="Arial" w:hAnsi="Arial"/>
                <w:sz w:val="18"/>
                <w:szCs w:val="18"/>
                <w:color w:val="auto"/>
              </w:rPr>
              <w:t>Average program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Single-pay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7"/>
        </w:trPr>
        <w:tc>
          <w:tcPr>
            <w:tcW w:w="6740" w:type="dxa"/>
            <w:vAlign w:val="bottom"/>
          </w:tcPr>
          <w:p>
            <w:pPr>
              <w:ind w:left="340"/>
              <w:spacing w:after="0"/>
              <w:rPr>
                <w:sz w:val="20"/>
                <w:szCs w:val="20"/>
                <w:color w:val="auto"/>
              </w:rPr>
            </w:pPr>
            <w:r>
              <w:rPr>
                <w:rFonts w:ascii="Arial" w:cs="Arial" w:eastAsia="Arial" w:hAnsi="Arial"/>
                <w:sz w:val="18"/>
                <w:szCs w:val="18"/>
                <w:color w:val="auto"/>
              </w:rPr>
              <w:t>Monthly-pay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Three Months Ended March 31, 2024 and 2023</w:t>
            </w:r>
          </w:p>
        </w:tc>
        <w:tc>
          <w:tcPr>
            <w:tcW w:w="1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316"/>
        </w:trPr>
        <w:tc>
          <w:tcPr>
            <w:tcW w:w="6520" w:type="dxa"/>
            <w:vAlign w:val="bottom"/>
          </w:tcPr>
          <w:p>
            <w:pPr>
              <w:spacing w:after="0"/>
              <w:rPr>
                <w:sz w:val="20"/>
                <w:szCs w:val="20"/>
                <w:color w:val="auto"/>
              </w:rPr>
            </w:pPr>
            <w:r>
              <w:rPr>
                <w:rFonts w:ascii="Arial" w:cs="Arial" w:eastAsia="Arial" w:hAnsi="Arial"/>
                <w:sz w:val="18"/>
                <w:szCs w:val="18"/>
                <w:i w:val="1"/>
                <w:iCs w:val="1"/>
                <w:color w:val="auto"/>
              </w:rPr>
              <w:t>Revenue</w:t>
            </w: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81"/>
        </w:trPr>
        <w:tc>
          <w:tcPr>
            <w:tcW w:w="6520" w:type="dxa"/>
            <w:vAlign w:val="bottom"/>
          </w:tcPr>
          <w:p>
            <w:pPr>
              <w:spacing w:after="0"/>
              <w:rPr>
                <w:sz w:val="24"/>
                <w:szCs w:val="24"/>
                <w:color w:val="auto"/>
              </w:rPr>
            </w:pPr>
          </w:p>
        </w:tc>
        <w:tc>
          <w:tcPr>
            <w:tcW w:w="3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800" w:type="dxa"/>
            <w:vAlign w:val="bottom"/>
            <w:tcBorders>
              <w:bottom w:val="single" w:sz="8" w:color="auto"/>
            </w:tcBorders>
          </w:tcPr>
          <w:p>
            <w:pPr>
              <w:spacing w:after="0"/>
              <w:rPr>
                <w:sz w:val="24"/>
                <w:szCs w:val="24"/>
                <w:color w:val="auto"/>
              </w:rPr>
            </w:pPr>
          </w:p>
        </w:tc>
      </w:tr>
      <w:tr>
        <w:trPr>
          <w:trHeight w:val="264"/>
        </w:trPr>
        <w:tc>
          <w:tcPr>
            <w:tcW w:w="6520" w:type="dxa"/>
            <w:vAlign w:val="bottom"/>
          </w:tcPr>
          <w:p>
            <w:pPr>
              <w:spacing w:after="0"/>
              <w:rPr>
                <w:sz w:val="22"/>
                <w:szCs w:val="22"/>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22"/>
                <w:szCs w:val="22"/>
                <w:color w:val="auto"/>
              </w:rPr>
            </w:pPr>
          </w:p>
        </w:tc>
      </w:tr>
      <w:tr>
        <w:trPr>
          <w:trHeight w:val="247"/>
        </w:trPr>
        <w:tc>
          <w:tcPr>
            <w:tcW w:w="6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0" w:type="dxa"/>
            <w:vAlign w:val="bottom"/>
            <w:gridSpan w:val="3"/>
          </w:tcPr>
          <w:p>
            <w:pPr>
              <w:jc w:val="right"/>
              <w:ind w:right="890"/>
              <w:spacing w:after="0"/>
              <w:rPr>
                <w:sz w:val="20"/>
                <w:szCs w:val="20"/>
                <w:color w:val="auto"/>
              </w:rPr>
            </w:pPr>
            <w:r>
              <w:rPr>
                <w:rFonts w:ascii="Arial" w:cs="Arial" w:eastAsia="Arial" w:hAnsi="Arial"/>
                <w:sz w:val="18"/>
                <w:szCs w:val="18"/>
                <w:i w:val="1"/>
                <w:iCs w:val="1"/>
                <w:color w:val="auto"/>
              </w:rPr>
              <w:t>(in thousands)</w:t>
            </w:r>
          </w:p>
        </w:tc>
        <w:tc>
          <w:tcPr>
            <w:tcW w:w="800" w:type="dxa"/>
            <w:vAlign w:val="bottom"/>
          </w:tcPr>
          <w:p>
            <w:pPr>
              <w:spacing w:after="0"/>
              <w:rPr>
                <w:sz w:val="21"/>
                <w:szCs w:val="21"/>
                <w:color w:val="auto"/>
              </w:rPr>
            </w:pPr>
          </w:p>
        </w:tc>
      </w:tr>
      <w:tr>
        <w:trPr>
          <w:trHeight w:val="23"/>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Program fees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14,309</w:t>
            </w: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17,301</w:t>
            </w:r>
          </w:p>
        </w:tc>
      </w:tr>
      <w:tr>
        <w:trPr>
          <w:trHeight w:val="256"/>
        </w:trPr>
        <w:tc>
          <w:tcPr>
            <w:tcW w:w="6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Profit Share</w:t>
            </w:r>
          </w:p>
        </w:tc>
        <w:tc>
          <w:tcPr>
            <w:tcW w:w="1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70"/>
        </w:trPr>
        <w:tc>
          <w:tcPr>
            <w:tcW w:w="6520" w:type="dxa"/>
            <w:vAlign w:val="bottom"/>
          </w:tcPr>
          <w:p>
            <w:pPr>
              <w:ind w:left="360"/>
              <w:spacing w:after="0"/>
              <w:rPr>
                <w:sz w:val="20"/>
                <w:szCs w:val="20"/>
                <w:color w:val="auto"/>
              </w:rPr>
            </w:pPr>
            <w:r>
              <w:rPr>
                <w:rFonts w:ascii="Arial" w:cs="Arial" w:eastAsia="Arial" w:hAnsi="Arial"/>
                <w:sz w:val="18"/>
                <w:szCs w:val="18"/>
                <w:color w:val="auto"/>
              </w:rPr>
              <w:t>New certified loan originations</w:t>
            </w:r>
          </w:p>
        </w:tc>
        <w:tc>
          <w:tcPr>
            <w:tcW w:w="15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15,030</w:t>
            </w: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17,888</w:t>
            </w:r>
          </w:p>
        </w:tc>
      </w:tr>
      <w:tr>
        <w:trPr>
          <w:trHeight w:val="27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revenues</w:t>
            </w:r>
          </w:p>
        </w:tc>
        <w:tc>
          <w:tcPr>
            <w:tcW w:w="15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2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r>
      <w:tr>
        <w:trPr>
          <w:trHeight w:val="256"/>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 profit share</w:t>
            </w:r>
          </w:p>
        </w:tc>
        <w:tc>
          <w:tcPr>
            <w:tcW w:w="15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13,882</w:t>
            </w: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18,602</w:t>
            </w:r>
          </w:p>
        </w:tc>
      </w:tr>
      <w:tr>
        <w:trPr>
          <w:trHeight w:val="278"/>
        </w:trPr>
        <w:tc>
          <w:tcPr>
            <w:tcW w:w="65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Claims administration and other service fees</w:t>
            </w:r>
          </w:p>
        </w:tc>
        <w:tc>
          <w:tcPr>
            <w:tcW w:w="15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2,554</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2,458</w:t>
            </w:r>
          </w:p>
        </w:tc>
      </w:tr>
      <w:tr>
        <w:trPr>
          <w:trHeight w:val="295"/>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30,745</w:t>
            </w:r>
          </w:p>
        </w:tc>
        <w:tc>
          <w:tcPr>
            <w:tcW w:w="1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38,361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revenue decreased by $7.6 million, or 20%, during the three months ended March 31, 2024, as compared to the same period in 2023, driven by a $4.7 million decrease in profit share revenue and a $3.0 million decrease in program fees, which was partially offset by increased claims administration and other service fee revenues of $0.1 million, as compared to the three months ended March 31, 2023.</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Program fees revenue decreased by $3.0 million, or 17%, during the three months ended March 31, 2024 as compared to the same period in 2023 driven by a 13% decrease in certified loan volume, as well as a 5% decrease in unit economics per certified loan, as compared to the prior year period.</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Profit share revenue decreased by $4.7 million, or 25%, during the three months ended March 31, 2024, as compared to the same period in 2023. Profit share revenue associated with new certified loan originations decreased $ 2.9 million, or 16%, primarily due to the 13% decrease in certified loans during the three months ended March 31, 2024, as compared to the same period in 2023. Profit share revenue associated with change in estimate decreased $1.9 million, or 261% during that same period.</w:t>
      </w:r>
    </w:p>
    <w:p>
      <w:pPr>
        <w:spacing w:after="0" w:line="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2024, we recorded $15.0 million in anticipated profit share associated with 28,189 new certified loans for an average of $533 per loan as compared to $17.9 million in anticipated profit share associated with 32,408 certified loans for an average of $552 per loan during the three months ended March 31, 2023. In addition, during the three months ended March 31, 2024, we recorded a reduction of $1.1 million in profit share revenue related to business in historic vintages primarily due to higher than anticipated loan defaults, partially offset by lower than anticipated severity of losses and prepayment rates. During the three months ended March 31, 2023, we recorded an increase of $0.7 million in profit share revenue related to business in historic vintages primarily due to lower than anticipated severity of losses.</w:t>
      </w:r>
    </w:p>
    <w:p>
      <w:pPr>
        <w:spacing w:after="0" w:line="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 from claims administration and other service fees, which primarily represents 3% of our insurance partners’ earned premium, increased by $0.1 million, or 4%, during the three months ended March 31, 2024, as compared to the same period in the prior year, due to increases in total earned premiums.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Cost of Services, Gross Profit and Gross Margin</w:t>
            </w:r>
          </w:p>
        </w:tc>
        <w:tc>
          <w:tcPr>
            <w:tcW w:w="1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9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500" w:type="dxa"/>
            <w:vAlign w:val="bottom"/>
            <w:gridSpan w:val="3"/>
          </w:tcPr>
          <w:p>
            <w:pPr>
              <w:jc w:val="right"/>
              <w:ind w:right="89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30,745</w:t>
            </w:r>
          </w:p>
        </w:tc>
        <w:tc>
          <w:tcPr>
            <w:tcW w:w="1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38,361</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148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480" w:type="dxa"/>
            <w:vAlign w:val="bottom"/>
            <w:tcBorders>
              <w:bottom w:val="single" w:sz="8" w:color="auto"/>
            </w:tcBorders>
            <w:shd w:val="clear" w:color="auto" w:fill="CCEEFF"/>
          </w:tcPr>
          <w:p>
            <w:pPr>
              <w:jc w:val="right"/>
              <w:ind w:right="12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24,995</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32,930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margin</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6300" w:type="dxa"/>
            <w:vAlign w:val="bottom"/>
            <w:vMerge w:val="continue"/>
          </w:tcPr>
          <w:p>
            <w:pPr>
              <w:spacing w:after="0"/>
              <w:rPr>
                <w:sz w:val="19"/>
                <w:szCs w:val="19"/>
                <w:color w:val="auto"/>
              </w:rPr>
            </w:pPr>
          </w:p>
        </w:tc>
        <w:tc>
          <w:tcPr>
            <w:tcW w:w="1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81 %</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86 %</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Cost of services increased $0.3 million, or 6%, during the three months ended March 31, 2024, as compared to the same period in 2023. The change is primarily due to higher employee compensation and benefit costs associated with the growth of our claims administration team and increased focus on product support.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Gross profit decreased by $7.9 million, or 24%, respectively, during the three months ended March 31, 2024, as compared to the same period in 2023, primarily driven by decreases in profit share and program fee revenues, as discussed above.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4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 Operating Income and Operating Margin</w:t>
            </w: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500" w:type="dxa"/>
            <w:vAlign w:val="bottom"/>
            <w:gridSpan w:val="3"/>
          </w:tcPr>
          <w:p>
            <w:pPr>
              <w:jc w:val="right"/>
              <w:ind w:right="950"/>
              <w:spacing w:after="0"/>
              <w:rPr>
                <w:sz w:val="20"/>
                <w:szCs w:val="20"/>
                <w:color w:val="auto"/>
              </w:rPr>
            </w:pPr>
            <w:r>
              <w:rPr>
                <w:rFonts w:ascii="Arial" w:cs="Arial" w:eastAsia="Arial" w:hAnsi="Arial"/>
                <w:sz w:val="18"/>
                <w:szCs w:val="18"/>
                <w:i w:val="1"/>
                <w:iCs w:val="1"/>
                <w:color w:val="auto"/>
              </w:rPr>
              <w:t>(in thousands)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24,995</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35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32,930</w:t>
            </w:r>
          </w:p>
        </w:tc>
        <w:tc>
          <w:tcPr>
            <w:tcW w:w="0" w:type="dxa"/>
            <w:vAlign w:val="bottom"/>
          </w:tcPr>
          <w:p>
            <w:pPr>
              <w:spacing w:after="0"/>
              <w:rPr>
                <w:sz w:val="1"/>
                <w:szCs w:val="1"/>
                <w:color w:val="auto"/>
              </w:rPr>
            </w:pPr>
          </w:p>
        </w:tc>
      </w:tr>
      <w:tr>
        <w:trPr>
          <w:trHeight w:val="262"/>
        </w:trPr>
        <w:tc>
          <w:tcPr>
            <w:tcW w:w="40" w:type="dxa"/>
            <w:vAlign w:val="bottom"/>
          </w:tcPr>
          <w:p>
            <w:pPr>
              <w:spacing w:after="0"/>
              <w:rPr>
                <w:sz w:val="22"/>
                <w:szCs w:val="22"/>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11,979</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Selling and marketing</w:t>
            </w:r>
          </w:p>
        </w:tc>
        <w:tc>
          <w:tcPr>
            <w:tcW w:w="1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4,214</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00" w:type="dxa"/>
            <w:vAlign w:val="bottom"/>
            <w:tcBorders>
              <w:bottom w:val="single" w:sz="8" w:color="CCEEFF"/>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5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17,672</w:t>
            </w:r>
          </w:p>
        </w:tc>
        <w:tc>
          <w:tcPr>
            <w:tcW w:w="12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15,834</w:t>
            </w:r>
          </w:p>
        </w:tc>
        <w:tc>
          <w:tcPr>
            <w:tcW w:w="0" w:type="dxa"/>
            <w:vAlign w:val="bottom"/>
          </w:tcPr>
          <w:p>
            <w:pPr>
              <w:spacing w:after="0"/>
              <w:rPr>
                <w:sz w:val="1"/>
                <w:szCs w:val="1"/>
                <w:color w:val="auto"/>
              </w:rPr>
            </w:pPr>
          </w:p>
        </w:tc>
      </w:tr>
      <w:tr>
        <w:trPr>
          <w:trHeight w:val="288"/>
        </w:trPr>
        <w:tc>
          <w:tcPr>
            <w:tcW w:w="40" w:type="dxa"/>
            <w:vAlign w:val="bottom"/>
          </w:tcPr>
          <w:p>
            <w:pPr>
              <w:spacing w:after="0"/>
              <w:rPr>
                <w:sz w:val="24"/>
                <w:szCs w:val="24"/>
                <w:color w:val="auto"/>
              </w:rPr>
            </w:pPr>
          </w:p>
        </w:tc>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7,323</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300" w:type="dxa"/>
            <w:vAlign w:val="bottom"/>
            <w:vMerge w:val="continue"/>
          </w:tcPr>
          <w:p>
            <w:pPr>
              <w:spacing w:after="0"/>
              <w:rPr>
                <w:sz w:val="20"/>
                <w:szCs w:val="20"/>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30,745</w:t>
            </w:r>
          </w:p>
        </w:tc>
        <w:tc>
          <w:tcPr>
            <w:tcW w:w="120" w:type="dxa"/>
            <w:vAlign w:val="bottom"/>
          </w:tcPr>
          <w:p>
            <w:pPr>
              <w:spacing w:after="0"/>
              <w:rPr>
                <w:sz w:val="20"/>
                <w:szCs w:val="20"/>
                <w:color w:val="auto"/>
              </w:rPr>
            </w:pPr>
          </w:p>
        </w:tc>
        <w:tc>
          <w:tcPr>
            <w:tcW w:w="1540" w:type="dxa"/>
            <w:vAlign w:val="bottom"/>
          </w:tcPr>
          <w:p>
            <w:pPr>
              <w:jc w:val="right"/>
              <w:ind w:right="13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38,361</w:t>
            </w:r>
          </w:p>
        </w:tc>
        <w:tc>
          <w:tcPr>
            <w:tcW w:w="0" w:type="dxa"/>
            <w:vAlign w:val="bottom"/>
          </w:tcPr>
          <w:p>
            <w:pPr>
              <w:spacing w:after="0"/>
              <w:rPr>
                <w:sz w:val="1"/>
                <w:szCs w:val="1"/>
                <w:color w:val="auto"/>
              </w:rPr>
            </w:pPr>
          </w:p>
        </w:tc>
      </w:tr>
      <w:tr>
        <w:trPr>
          <w:trHeight w:val="278"/>
        </w:trPr>
        <w:tc>
          <w:tcPr>
            <w:tcW w:w="40" w:type="dxa"/>
            <w:vAlign w:val="bottom"/>
          </w:tcPr>
          <w:p>
            <w:pPr>
              <w:spacing w:after="0"/>
              <w:rPr>
                <w:sz w:val="24"/>
                <w:szCs w:val="24"/>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margin</w:t>
            </w:r>
          </w:p>
        </w:tc>
        <w:tc>
          <w:tcPr>
            <w:tcW w:w="15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w:t>
            </w: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General and administrative expenses increased by $1.8 million, or 17%, during the three months ended March 31, 2024 as compared to the same period in 2023 primarily driven by a $2.8 million primarily associated with increased employee compensation and benefit costs partially offset by a $0.7 million decrease in business taxes.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Selling and marketing expenses decreased by $0.2 million, or 4%, during the three months ended March 31, 2024 as compared to the same period in 2023.</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Research and development expenses increased by $ 0.2 million, or 20%, during the three months ended March 31, 2024, as compared to the same period in 2023, which is associated with higher data service costs.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income for the three months ended March 31, 2024 decreased by $9.8 million, or 57%, as compared to the prior year periods, primarily driven by decreases in total revenues as well as changes in operating expenses, as discussed above.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increased $0.4 million, or 16%, for the three months ended March 31, 2024, as compared to the same period in 2023.</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2024, interest income increased $0.9 million, or 44%, compared to the same period in 2023 primarily due to interest earned on U.S. Treasury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March 31, 2024 and 2023, we recognized income tax expense of $2.4 million and $4.2 million, respectively, with effective tax rates of 32.4% and 25.2%, respectively.</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Income tax expense decreased $1.8 million, or 42%, during the three months ended March 31, 2024, as compared to the same period in 2023, primarily as a result of the decrease in income before income taxes.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and Liquidity Analysis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assess liquidity primarily in terms of our ability to generate cash to fund operating and investing activities. A significant portion of our cash from operating activities is derived from our profit share arrangements with our insurance partners, which are subject to judgments and assumptions and is, therefore, subject to variability. We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believe that our existing cash resources and the Revolving Credit Facility will provide sufficient liquidity to fund our near-term working capital needs. We regularly evaluate alternatives for managing our capital structure and liquidity profile in consideration of expected cash flows, growth and operating capital requirements and capital market conditions. Refer to </w:t>
      </w:r>
      <w:r>
        <w:rPr>
          <w:rFonts w:ascii="Arial" w:cs="Arial" w:eastAsia="Arial" w:hAnsi="Arial"/>
          <w:sz w:val="18"/>
          <w:szCs w:val="18"/>
          <w:u w:val="single" w:color="auto"/>
          <w:color w:val="0000FF"/>
        </w:rPr>
        <w:t>Critical Accounting Policies and Estimates</w:t>
      </w:r>
      <w:r>
        <w:rPr>
          <w:rFonts w:ascii="Arial" w:cs="Arial" w:eastAsia="Arial" w:hAnsi="Arial"/>
          <w:sz w:val="18"/>
          <w:szCs w:val="18"/>
          <w:color w:val="auto"/>
        </w:rPr>
        <w:t xml:space="preserve"> in this Quarterly Report and our Annual Report for a full description of the related estimates, assumptions and judgments.</w:t>
      </w:r>
    </w:p>
    <w:p>
      <w:pPr>
        <w:spacing w:after="0" w:line="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our assessment of the underlying provisions and circumstances of our contractual obligations, other than the risks that we and other similarly situated companies face with respect to the condition of the capital markets (as described in “Risk Factors” in our Annual Report), there is no known trend, demand, commitment, event, or uncertainty that is reasonably likely to occur that would have a material adverse effect on our consolidated results of operations, financial condition, or liquidity.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20" w:type="dxa"/>
            <w:vAlign w:val="bottom"/>
          </w:tcPr>
          <w:p>
            <w:pPr>
              <w:spacing w:after="0"/>
              <w:rPr>
                <w:sz w:val="20"/>
                <w:szCs w:val="20"/>
                <w:color w:val="auto"/>
              </w:rPr>
            </w:pPr>
            <w:r>
              <w:rPr>
                <w:rFonts w:ascii="Arial" w:cs="Arial" w:eastAsia="Arial" w:hAnsi="Arial"/>
                <w:sz w:val="18"/>
                <w:szCs w:val="18"/>
                <w:color w:val="auto"/>
              </w:rPr>
              <w:t>The following table provides a summary of cash flow data:</w:t>
            </w: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47"/>
        </w:trPr>
        <w:tc>
          <w:tcPr>
            <w:tcW w:w="65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Three Months Ended March 31,</w:t>
            </w:r>
          </w:p>
        </w:tc>
      </w:tr>
      <w:tr>
        <w:trPr>
          <w:trHeight w:val="257"/>
        </w:trPr>
        <w:tc>
          <w:tcPr>
            <w:tcW w:w="6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2023</w:t>
            </w:r>
          </w:p>
        </w:tc>
      </w:tr>
      <w:tr>
        <w:trPr>
          <w:trHeight w:val="235"/>
        </w:trPr>
        <w:tc>
          <w:tcPr>
            <w:tcW w:w="6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gridSpan w:val="2"/>
          </w:tcPr>
          <w:p>
            <w:pPr>
              <w:jc w:val="right"/>
              <w:ind w:right="150"/>
              <w:spacing w:after="0"/>
              <w:rPr>
                <w:sz w:val="20"/>
                <w:szCs w:val="20"/>
                <w:color w:val="auto"/>
              </w:rPr>
            </w:pPr>
            <w:r>
              <w:rPr>
                <w:rFonts w:ascii="Arial" w:cs="Arial" w:eastAsia="Arial" w:hAnsi="Arial"/>
                <w:sz w:val="16"/>
                <w:szCs w:val="16"/>
                <w:i w:val="1"/>
                <w:iCs w:val="1"/>
                <w:color w:val="auto"/>
              </w:rPr>
              <w:t>(in thousands)</w:t>
            </w:r>
          </w:p>
        </w:tc>
        <w:tc>
          <w:tcPr>
            <w:tcW w:w="1600" w:type="dxa"/>
            <w:vAlign w:val="bottom"/>
          </w:tcPr>
          <w:p>
            <w:pPr>
              <w:spacing w:after="0"/>
              <w:rPr>
                <w:sz w:val="20"/>
                <w:szCs w:val="20"/>
                <w:color w:val="auto"/>
              </w:rPr>
            </w:pPr>
          </w:p>
        </w:tc>
      </w:tr>
      <w:tr>
        <w:trPr>
          <w:trHeight w:val="25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11,006</w:t>
            </w:r>
          </w:p>
        </w:tc>
        <w:tc>
          <w:tcPr>
            <w:tcW w:w="7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29,508</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(642)</w:t>
            </w:r>
          </w:p>
        </w:tc>
        <w:tc>
          <w:tcPr>
            <w:tcW w:w="7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3"/>
        </w:trPr>
        <w:tc>
          <w:tcPr>
            <w:tcW w:w="6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(22,390)</w:t>
            </w:r>
          </w:p>
        </w:tc>
      </w:tr>
      <w:tr>
        <w:trPr>
          <w:trHeight w:val="23"/>
        </w:trPr>
        <w:tc>
          <w:tcPr>
            <w:tcW w:w="6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provided by operating activities reflect net income adjusted for certain non-cash items and changes in operating assets and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non-cash adjustments in the operating activities in the unaudited Condensed Statement of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52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March 31,</w:t>
            </w:r>
          </w:p>
        </w:tc>
        <w:tc>
          <w:tcPr>
            <w:tcW w:w="800" w:type="dxa"/>
            <w:vAlign w:val="bottom"/>
            <w:tcBorders>
              <w:bottom w:val="single" w:sz="8" w:color="auto"/>
            </w:tcBorders>
          </w:tcPr>
          <w:p>
            <w:pPr>
              <w:spacing w:after="0"/>
              <w:rPr>
                <w:sz w:val="20"/>
                <w:szCs w:val="20"/>
                <w:color w:val="auto"/>
              </w:rPr>
            </w:pPr>
          </w:p>
        </w:tc>
      </w:tr>
      <w:tr>
        <w:trPr>
          <w:trHeight w:val="257"/>
        </w:trPr>
        <w:tc>
          <w:tcPr>
            <w:tcW w:w="6520" w:type="dxa"/>
            <w:vAlign w:val="bottom"/>
          </w:tcPr>
          <w:p>
            <w:pPr>
              <w:spacing w:after="0"/>
              <w:rPr>
                <w:sz w:val="22"/>
                <w:szCs w:val="22"/>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800" w:type="dxa"/>
            <w:vAlign w:val="bottom"/>
            <w:tcBorders>
              <w:bottom w:val="single" w:sz="8" w:color="auto"/>
            </w:tcBorders>
          </w:tcPr>
          <w:p>
            <w:pPr>
              <w:spacing w:after="0"/>
              <w:rPr>
                <w:sz w:val="22"/>
                <w:szCs w:val="22"/>
                <w:color w:val="auto"/>
              </w:rPr>
            </w:pPr>
          </w:p>
        </w:tc>
      </w:tr>
      <w:tr>
        <w:trPr>
          <w:trHeight w:val="215"/>
        </w:trPr>
        <w:tc>
          <w:tcPr>
            <w:tcW w:w="6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0" w:type="dxa"/>
            <w:vAlign w:val="bottom"/>
            <w:gridSpan w:val="3"/>
          </w:tcPr>
          <w:p>
            <w:pPr>
              <w:jc w:val="right"/>
              <w:ind w:right="950"/>
              <w:spacing w:after="0"/>
              <w:rPr>
                <w:sz w:val="20"/>
                <w:szCs w:val="20"/>
                <w:color w:val="auto"/>
              </w:rPr>
            </w:pPr>
            <w:r>
              <w:rPr>
                <w:rFonts w:ascii="Arial" w:cs="Arial" w:eastAsia="Arial" w:hAnsi="Arial"/>
                <w:sz w:val="16"/>
                <w:szCs w:val="16"/>
                <w:i w:val="1"/>
                <w:iCs w:val="1"/>
                <w:color w:val="auto"/>
              </w:rPr>
              <w:t>(in thousands)</w:t>
            </w:r>
          </w:p>
        </w:tc>
        <w:tc>
          <w:tcPr>
            <w:tcW w:w="800" w:type="dxa"/>
            <w:vAlign w:val="bottom"/>
          </w:tcPr>
          <w:p>
            <w:pPr>
              <w:spacing w:after="0"/>
              <w:rPr>
                <w:sz w:val="18"/>
                <w:szCs w:val="18"/>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5,087</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12,538</w:t>
            </w:r>
          </w:p>
        </w:tc>
      </w:tr>
      <w:tr>
        <w:trPr>
          <w:trHeight w:val="229"/>
        </w:trPr>
        <w:tc>
          <w:tcPr>
            <w:tcW w:w="6520" w:type="dxa"/>
            <w:vAlign w:val="bottom"/>
          </w:tcPr>
          <w:p>
            <w:pPr>
              <w:ind w:left="140"/>
              <w:spacing w:after="0"/>
              <w:rPr>
                <w:sz w:val="20"/>
                <w:szCs w:val="20"/>
                <w:color w:val="auto"/>
              </w:rPr>
            </w:pPr>
            <w:r>
              <w:rPr>
                <w:rFonts w:ascii="Arial" w:cs="Arial" w:eastAsia="Arial" w:hAnsi="Arial"/>
                <w:sz w:val="18"/>
                <w:szCs w:val="18"/>
                <w:color w:val="auto"/>
              </w:rPr>
              <w:t>Non-cash adjustments</w:t>
            </w:r>
          </w:p>
        </w:tc>
        <w:tc>
          <w:tcPr>
            <w:tcW w:w="1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3,561</w:t>
            </w:r>
          </w:p>
        </w:tc>
      </w:tr>
      <w:tr>
        <w:trPr>
          <w:trHeight w:val="230"/>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Non-cash (gains) losses</w:t>
            </w:r>
          </w:p>
        </w:tc>
        <w:tc>
          <w:tcPr>
            <w:tcW w:w="1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Change in contract assets</w:t>
            </w:r>
          </w:p>
        </w:tc>
        <w:tc>
          <w:tcPr>
            <w:tcW w:w="1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9,488</w:t>
            </w:r>
          </w:p>
        </w:tc>
      </w:tr>
      <w:tr>
        <w:trPr>
          <w:trHeight w:val="230"/>
        </w:trPr>
        <w:tc>
          <w:tcPr>
            <w:tcW w:w="6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other assets and liabilities</w:t>
            </w:r>
          </w:p>
        </w:tc>
        <w:tc>
          <w:tcPr>
            <w:tcW w:w="1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11,006</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29,508</w:t>
            </w:r>
          </w:p>
        </w:tc>
      </w:tr>
      <w:tr>
        <w:trPr>
          <w:trHeight w:val="20"/>
        </w:trPr>
        <w:tc>
          <w:tcPr>
            <w:tcW w:w="65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decreased by $18.5 million for the three months ended March 31, 2024 as compared to the three months ended March 31, 2023. The decrease was primarily attributable to decreased cash collections of $20.0 million related to reduced profit share, program fees and claims administration service fee revenues, a $2.2 million increase in interest payments and a $1.7 million increase in cash payments related to cost of services and operating expenses. This decrease in cash was offset by a $3.3 million reduction in income tax payments, a $0.9 million increase in interest income received during the three months ended March 31, 2024 as compared to the three months ended March 31, 2023.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2024 and 2023, net cash used in investing activities was $0.6 million and $0.3 million, respectively. For the three months ended March 31, 2024 and 2023, the investments were primarily related to computer software developed for internal use.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flows used in and provided by financing activities primarily consist of share repurchases, payments of debt and deferred financing costs.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2024, net cash used in financing activities was $2.0 million and is primarily related to a $0.9 million principal payment on our Term Loan due 2027 and shares withheld for taxes related to vesting of restricted stock awards.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the three months ended March 31, 2023, net cash used in financing activities was $22.4 million and is primarily related to the repurchase of 3,095,334 shares of our common stock held in treasury stock for a total of $21.5 million, including commissions and excise tax.</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2024, we had no amounts outstanding under the Revolving Credit Facility and $143.2 million outstanding under our Term Loan due 2027.</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Board of Directors authorized a share repurchase program (the “Share Repurchase Program”), allowing the Company to repurchase up to $75.0 million of the Company’s outstanding common stock until March 31, 2024. Pursuant to the Share Repurchase Program, the Company repurchased 5,233,065 and 2,643,306 shares at an average price of $ 7.13 and $6.82 for a total of $37.3 million and $ 18.0 million, excluding excise tax, during the years ended December 31, 2023 and 2022, respectively. The Company did not purchase any shares pursuant to the Share Repurchase Program, during the three-month period ended March 31, 2024. These shares were recorded to </w:t>
      </w:r>
      <w:r>
        <w:rPr>
          <w:rFonts w:ascii="Arial" w:cs="Arial" w:eastAsia="Arial" w:hAnsi="Arial"/>
          <w:sz w:val="18"/>
          <w:szCs w:val="18"/>
          <w:i w:val="1"/>
          <w:iCs w:val="1"/>
          <w:color w:val="auto"/>
        </w:rPr>
        <w:t>Treasury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at cost </w:t>
      </w:r>
      <w:r>
        <w:rPr>
          <w:rFonts w:ascii="Arial" w:cs="Arial" w:eastAsia="Arial" w:hAnsi="Arial"/>
          <w:sz w:val="18"/>
          <w:szCs w:val="18"/>
          <w:color w:val="auto"/>
        </w:rPr>
        <w:t>in the unaudited Condensed Consolidated Balance Sheets, which includes $0.3 million of excise tax expected to be paid in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2024. This excise tax payable is included within A</w:t>
      </w:r>
      <w:r>
        <w:rPr>
          <w:rFonts w:ascii="Arial" w:cs="Arial" w:eastAsia="Arial" w:hAnsi="Arial"/>
          <w:sz w:val="18"/>
          <w:szCs w:val="18"/>
          <w:i w:val="1"/>
          <w:iCs w:val="1"/>
          <w:color w:val="auto"/>
        </w:rPr>
        <w:t>ccrued expenses</w:t>
      </w:r>
      <w:r>
        <w:rPr>
          <w:rFonts w:ascii="Arial" w:cs="Arial" w:eastAsia="Arial" w:hAnsi="Arial"/>
          <w:sz w:val="18"/>
          <w:szCs w:val="18"/>
          <w:color w:val="auto"/>
        </w:rPr>
        <w:t xml:space="preserve"> in the unaudited Condensed Consolidated Balance Sheets.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decision to declare and pay dividends in the future will be made at the sole discretion of our Board of Directors and will depend on, among other things, results of operations, cash requirements, financial condition, contractual restrictions and other factors that our Board of Directors may deem relevant. In addition, our ability to pay dividends is limited by covenants in our existing indebtedness and may be limited by the agreements governing other indebtedness that we or our subsidiaries may incur in the future.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EBITDA is a non-GAAP financial measure used by management to evaluate its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This measure further provides useful analysis of period-to-period comparisons of our business, as it excludes the effect of certain non-cash items and certain variable charges. Adjusted EBITDA is defined as GAAP net income excluding interest expense, income taxes, depreciation and amortization expense of property and equipment and share-based compensation expense. Adjusted EBITDA margin is defined as Adjusted EBITDA expressed as a percentage of total revenue.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GAAP net income to Adjusted EBITDA for each of the periods indicated: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55"/>
        </w:trPr>
        <w:tc>
          <w:tcPr>
            <w:tcW w:w="63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tcBorders>
              <w:bottom w:val="single" w:sz="8" w:color="auto"/>
            </w:tcBorders>
          </w:tcPr>
          <w:p>
            <w:pPr>
              <w:spacing w:after="0"/>
              <w:rPr>
                <w:sz w:val="22"/>
                <w:szCs w:val="22"/>
                <w:color w:val="auto"/>
              </w:rPr>
            </w:pPr>
          </w:p>
        </w:tc>
        <w:tc>
          <w:tcPr>
            <w:tcW w:w="43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63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2023</w:t>
            </w:r>
          </w:p>
        </w:tc>
      </w:tr>
      <w:tr>
        <w:trPr>
          <w:trHeight w:val="247"/>
        </w:trPr>
        <w:tc>
          <w:tcPr>
            <w:tcW w:w="6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700" w:type="dxa"/>
            <w:vAlign w:val="bottom"/>
            <w:gridSpan w:val="3"/>
          </w:tcPr>
          <w:p>
            <w:pPr>
              <w:jc w:val="right"/>
              <w:ind w:right="150"/>
              <w:spacing w:after="0"/>
              <w:rPr>
                <w:sz w:val="20"/>
                <w:szCs w:val="20"/>
                <w:color w:val="auto"/>
              </w:rPr>
            </w:pPr>
            <w:r>
              <w:rPr>
                <w:rFonts w:ascii="Arial" w:cs="Arial" w:eastAsia="Arial" w:hAnsi="Arial"/>
                <w:sz w:val="18"/>
                <w:szCs w:val="18"/>
                <w:i w:val="1"/>
                <w:iCs w:val="1"/>
                <w:color w:val="auto"/>
              </w:rPr>
              <w:t>(in thousands)</w:t>
            </w:r>
          </w:p>
        </w:tc>
        <w:tc>
          <w:tcPr>
            <w:tcW w:w="1640" w:type="dxa"/>
            <w:vAlign w:val="bottom"/>
          </w:tcPr>
          <w:p>
            <w:pPr>
              <w:spacing w:after="0"/>
              <w:rPr>
                <w:sz w:val="21"/>
                <w:szCs w:val="21"/>
                <w:color w:val="auto"/>
              </w:rPr>
            </w:pPr>
          </w:p>
        </w:tc>
      </w:tr>
      <w:tr>
        <w:trPr>
          <w:trHeight w:val="23"/>
        </w:trPr>
        <w:tc>
          <w:tcPr>
            <w:tcW w:w="6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5,087</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12,538</w:t>
            </w:r>
          </w:p>
        </w:tc>
      </w:tr>
      <w:tr>
        <w:trPr>
          <w:trHeight w:val="229"/>
        </w:trPr>
        <w:tc>
          <w:tcPr>
            <w:tcW w:w="6300" w:type="dxa"/>
            <w:vAlign w:val="bottom"/>
          </w:tcPr>
          <w:p>
            <w:pPr>
              <w:spacing w:after="0"/>
              <w:rPr>
                <w:sz w:val="20"/>
                <w:szCs w:val="20"/>
                <w:color w:val="auto"/>
              </w:rPr>
            </w:pPr>
            <w:r>
              <w:rPr>
                <w:rFonts w:ascii="Arial" w:cs="Arial" w:eastAsia="Arial" w:hAnsi="Arial"/>
                <w:sz w:val="18"/>
                <w:szCs w:val="18"/>
                <w:color w:val="auto"/>
              </w:rPr>
              <w:t>Non-GAAP adjustments:</w:t>
            </w: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2,387</w:t>
            </w:r>
          </w:p>
        </w:tc>
      </w:tr>
      <w:tr>
        <w:trPr>
          <w:trHeight w:val="229"/>
        </w:trPr>
        <w:tc>
          <w:tcPr>
            <w:tcW w:w="63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540" w:type="dxa"/>
            <w:vAlign w:val="bottom"/>
          </w:tcPr>
          <w:p>
            <w:pPr>
              <w:spacing w:after="0"/>
              <w:rPr>
                <w:sz w:val="19"/>
                <w:szCs w:val="19"/>
                <w:color w:val="auto"/>
              </w:rPr>
            </w:pPr>
          </w:p>
        </w:tc>
        <w:tc>
          <w:tcPr>
            <w:tcW w:w="1840" w:type="dxa"/>
            <w:vAlign w:val="bottom"/>
          </w:tcPr>
          <w:p>
            <w:pPr>
              <w:jc w:val="right"/>
              <w:ind w:right="150"/>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rPr>
              <w:t>4,235</w:t>
            </w:r>
          </w:p>
        </w:tc>
      </w:tr>
      <w:tr>
        <w:trPr>
          <w:trHeight w:val="230"/>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of fixed assets</w:t>
            </w:r>
          </w:p>
        </w:tc>
        <w:tc>
          <w:tcPr>
            <w:tcW w:w="54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r>
      <w:tr>
        <w:trPr>
          <w:trHeight w:val="229"/>
        </w:trPr>
        <w:tc>
          <w:tcPr>
            <w:tcW w:w="6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Share-based compensation</w:t>
            </w:r>
          </w:p>
        </w:tc>
        <w:tc>
          <w:tcPr>
            <w:tcW w:w="5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1,844</w:t>
            </w:r>
          </w:p>
        </w:tc>
      </w:tr>
      <w:tr>
        <w:trPr>
          <w:trHeight w:val="223"/>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adjustments</w:t>
            </w:r>
          </w:p>
        </w:tc>
        <w:tc>
          <w:tcPr>
            <w:tcW w:w="5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7,433</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8,710</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12,520</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21,248</w:t>
            </w: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8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30,745</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38,361</w:t>
            </w:r>
          </w:p>
        </w:tc>
      </w:tr>
      <w:tr>
        <w:trPr>
          <w:trHeight w:val="247"/>
        </w:trPr>
        <w:tc>
          <w:tcPr>
            <w:tcW w:w="6300" w:type="dxa"/>
            <w:vAlign w:val="bottom"/>
          </w:tcPr>
          <w:p>
            <w:pPr>
              <w:spacing w:after="0"/>
              <w:rPr>
                <w:sz w:val="20"/>
                <w:szCs w:val="20"/>
                <w:color w:val="auto"/>
              </w:rPr>
            </w:pPr>
            <w:r>
              <w:rPr>
                <w:rFonts w:ascii="Arial" w:cs="Arial" w:eastAsia="Arial" w:hAnsi="Arial"/>
                <w:sz w:val="18"/>
                <w:szCs w:val="18"/>
                <w:b w:val="1"/>
                <w:bCs w:val="1"/>
                <w:color w:val="auto"/>
              </w:rPr>
              <w:t>Adjusted EBITDA margin</w:t>
            </w:r>
          </w:p>
        </w:tc>
        <w:tc>
          <w:tcPr>
            <w:tcW w:w="5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41 %</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55 %</w:t>
            </w:r>
          </w:p>
        </w:tc>
      </w:tr>
    </w:tbl>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2024, Adjusted EBITDA decreased by $8.7 million, or 41%, as compared to the three months ended March 31, 2023. Adjusted EBITDA margin for the three months ended March 31, 2024 decreased to 41% as compared to 55% during the same period in 2023.</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Adjusted EBITDA during the three months ended March 31, 2024 reflects our reduced revenue due to lower certified loan volume and the impact of profit share revenue change in estimate as well as increased cost of services and operating expenses during each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have not been any material changes during the three months ended March 31, 2024 to the methodology applied by management for critical accounting policies previously disclosed in our Annual Report. Please refer to “</w:t>
      </w:r>
      <w:r>
        <w:rPr>
          <w:rFonts w:ascii="Arial" w:cs="Arial" w:eastAsia="Arial" w:hAnsi="Arial"/>
          <w:sz w:val="18"/>
          <w:szCs w:val="18"/>
          <w:i w:val="1"/>
          <w:iCs w:val="1"/>
          <w:color w:val="auto"/>
        </w:rPr>
        <w:t>Part II, Item 7. 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Operations—Critical Accounting Policies and Estimates</w:t>
      </w:r>
      <w:r>
        <w:rPr>
          <w:rFonts w:ascii="Arial" w:cs="Arial" w:eastAsia="Arial" w:hAnsi="Arial"/>
          <w:sz w:val="18"/>
          <w:szCs w:val="18"/>
          <w:color w:val="auto"/>
        </w:rPr>
        <w:t>” in our Annual Report for further description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critical accounting policies and estimates.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had no material changes in our contractual commitments and obligations during the three months ended March 31, 2024 from the amounts listed under “</w:t>
      </w:r>
      <w:r>
        <w:rPr>
          <w:rFonts w:ascii="Arial" w:cs="Arial" w:eastAsia="Arial" w:hAnsi="Arial"/>
          <w:sz w:val="18"/>
          <w:szCs w:val="18"/>
          <w:i w:val="1"/>
          <w:iCs w:val="1"/>
          <w:color w:val="auto"/>
        </w:rPr>
        <w:t>Part II, Item 7. Management’s Discussion and Analysis of Financial Condition and Results of Operations—Contractual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in our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operations include activities in the U.S. These operations expose us to a variety of market risks, including the effects of changes in interest rates and changes in consumer attitudes toward financing a vehicle purchase. We monitor and manage these financial exposures as an integral part of our overall risk management program.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normal course of business, we are exposed to market risk and have established policies designed to protect against the adverse effects of this exposure. We are exposed to risks associated with general economic conditions and the impact of the economic environment on consumer spending levels, the willingness of consumers to enter into loans to finance purchases and consumers ability to afford financial obligations. Consumer spending and borrowing patterns related to auto purchases are influenced by economic factors such as unemployment rates, inflation, rising interest rate levels, changes in monetary and related policies, market volatility and overall consumer confidence. We also face risk from competition to acquire, maintain and develop new relationships with automotive lenders as well as competition from a wide variety of automotive lenders who are (or are affiliated) with financial institutions and have capacity to hold loans on their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Risk</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rely on our three largest insurance partners for a significant portion of our profit share and claims administration service fee revenue. Termination or disruption of these relationships could materially and adversely impact our revenue. See “</w:t>
      </w:r>
      <w:r>
        <w:rPr>
          <w:rFonts w:ascii="Arial" w:cs="Arial" w:eastAsia="Arial" w:hAnsi="Arial"/>
          <w:sz w:val="18"/>
          <w:szCs w:val="18"/>
          <w:i w:val="1"/>
          <w:iCs w:val="1"/>
          <w:color w:val="auto"/>
        </w:rPr>
        <w:t>Item 1A—Risk Factors—Risks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Our Business—If we lose one or more of our insurance carriers and are unable to replace their commitments, it could have a material adverse effect on our business</w:t>
      </w:r>
      <w:r>
        <w:rPr>
          <w:rFonts w:ascii="Arial" w:cs="Arial" w:eastAsia="Arial" w:hAnsi="Arial"/>
          <w:sz w:val="18"/>
          <w:szCs w:val="18"/>
          <w:color w:val="auto"/>
        </w:rPr>
        <w:t>” in our Annual Report.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earnings and cash flows are subject to fluctuations due to changes in interest rates on investment of available cash balances in money market funds and U.S. Treasury securities. Our New Term Loan due 2027 also exposes us to changes in short-term interest rates since interest rates on the underlying obligations are variable.</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2024, we had outstanding amounts of $144.4 million under the Term Loan due 2027, which is scheduled to mature on September 9, 2027. There were no amounts outstanding under the Revolving Credit Facility as of March 31, 2024. Borrowings under the Credit Agreement bear interest at a rate equal to Adjusted SOFR plus a spread that is based upon our total net leverage ratio. The spread ranges from 1.625% to 2.375% per annum for Adjusted SOFR loans. We are also charged an unused commitment fee that ranges from 0.15% to 0.225% per annum on the average daily unused portion of the Revolving Credit Facility, which is paid quarterly in arrears and is based on our total net leverage ratio.</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concluded that, as of such date,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13a-15(f) or 15d-15(f) of the Exchange Act during the period covered by this Quarterly Report, that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the date of this Quarterly Report, we were not a party to any material legal proceedings. 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and other cautionary statements described under Part I, Item 1A. “Risk Factors” in our Annual Report, which could materially affect our business, financial condition or future results. Additional risks and uncertainties not currently known to us or that we currently deem to be immaterial also may materially and adversely affect our business, financial condition or future results. There have been no material changes in our risk factors from those described in the Annual Report.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The following table sets forth information with respect to our repurchases of shares of common stock during the three months ended March 31, 2024.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jc w:val="center"/>
              <w:ind w:right="3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4"/>
                <w:szCs w:val="14"/>
                <w:color w:val="auto"/>
              </w:rPr>
            </w:pPr>
          </w:p>
        </w:tc>
        <w:tc>
          <w:tcPr>
            <w:tcW w:w="16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Average price paid</w:t>
            </w: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7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162"/>
        </w:trPr>
        <w:tc>
          <w:tcPr>
            <w:tcW w:w="2820" w:type="dxa"/>
            <w:vAlign w:val="bottom"/>
            <w:gridSpan w:val="2"/>
            <w:vMerge w:val="restart"/>
          </w:tcPr>
          <w:p>
            <w:pPr>
              <w:ind w:left="1100"/>
              <w:spacing w:after="0"/>
              <w:rPr>
                <w:sz w:val="20"/>
                <w:szCs w:val="20"/>
                <w:color w:val="auto"/>
              </w:rPr>
            </w:pPr>
            <w:r>
              <w:rPr>
                <w:rFonts w:ascii="Arial" w:cs="Arial" w:eastAsia="Arial" w:hAnsi="Arial"/>
                <w:sz w:val="16"/>
                <w:szCs w:val="16"/>
                <w:b w:val="1"/>
                <w:bCs w:val="1"/>
                <w:color w:val="auto"/>
              </w:rPr>
              <w:t>Period</w:t>
            </w:r>
          </w:p>
        </w:tc>
        <w:tc>
          <w:tcPr>
            <w:tcW w:w="1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21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under the plans or programs (in</w:t>
            </w:r>
          </w:p>
        </w:tc>
        <w:tc>
          <w:tcPr>
            <w:tcW w:w="0" w:type="dxa"/>
            <w:vAlign w:val="bottom"/>
          </w:tcPr>
          <w:p>
            <w:pPr>
              <w:spacing w:after="0"/>
              <w:rPr>
                <w:sz w:val="1"/>
                <w:szCs w:val="1"/>
                <w:color w:val="auto"/>
              </w:rPr>
            </w:pPr>
          </w:p>
        </w:tc>
      </w:tr>
      <w:tr>
        <w:trPr>
          <w:trHeight w:val="216"/>
        </w:trPr>
        <w:tc>
          <w:tcPr>
            <w:tcW w:w="2820" w:type="dxa"/>
            <w:vAlign w:val="bottom"/>
            <w:gridSpan w:val="2"/>
            <w:vMerge w:val="continue"/>
          </w:tcPr>
          <w:p>
            <w:pPr>
              <w:spacing w:after="0"/>
              <w:rPr>
                <w:sz w:val="18"/>
                <w:szCs w:val="18"/>
                <w:color w:val="auto"/>
              </w:rPr>
            </w:pPr>
          </w:p>
        </w:tc>
        <w:tc>
          <w:tcPr>
            <w:tcW w:w="1680" w:type="dxa"/>
            <w:vAlign w:val="bottom"/>
          </w:tcPr>
          <w:p>
            <w:pPr>
              <w:jc w:val="right"/>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per share</w:t>
            </w:r>
          </w:p>
        </w:tc>
        <w:tc>
          <w:tcPr>
            <w:tcW w:w="21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or programs </w:t>
            </w:r>
            <w:r>
              <w:rPr>
                <w:rFonts w:ascii="Arial" w:cs="Arial" w:eastAsia="Arial" w:hAnsi="Arial"/>
                <w:sz w:val="21"/>
                <w:szCs w:val="21"/>
                <w:b w:val="1"/>
                <w:bCs w:val="1"/>
                <w:color w:val="auto"/>
                <w:w w:val="96"/>
                <w:vertAlign w:val="superscript"/>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39"/>
              <w:spacing w:after="0" w:line="216" w:lineRule="exact"/>
              <w:rPr>
                <w:sz w:val="20"/>
                <w:szCs w:val="20"/>
                <w:color w:val="auto"/>
              </w:rPr>
            </w:pPr>
            <w:r>
              <w:rPr>
                <w:rFonts w:ascii="Arial" w:cs="Arial" w:eastAsia="Arial" w:hAnsi="Arial"/>
                <w:sz w:val="16"/>
                <w:szCs w:val="16"/>
                <w:b w:val="1"/>
                <w:bCs w:val="1"/>
                <w:color w:val="auto"/>
                <w:w w:val="93"/>
              </w:rPr>
              <w:t xml:space="preserve">millions) </w:t>
            </w:r>
            <w:r>
              <w:rPr>
                <w:rFonts w:ascii="Arial" w:cs="Arial" w:eastAsia="Arial" w:hAnsi="Arial"/>
                <w:sz w:val="21"/>
                <w:szCs w:val="21"/>
                <w:b w:val="1"/>
                <w:bCs w:val="1"/>
                <w:color w:val="auto"/>
                <w:w w:val="93"/>
                <w:vertAlign w:val="superscript"/>
              </w:rPr>
              <w:t>(2)</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01/01/2024-01/31/2024</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23,131</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02/01/2024-02/29/2024</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10,373</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58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03/01/2024-03/31/2024</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114,257</w:t>
            </w:r>
          </w:p>
        </w:tc>
        <w:tc>
          <w:tcPr>
            <w:tcW w:w="38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147,761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firstLine="8"/>
        <w:spacing w:after="0" w:line="256"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23,131 shares in January 2024, 10,373 shares in February 2024 and 114,257 shares in March 2024 which were purchased from employees to satisfy their tax withholding obligations related to share-based awards that vested during those months.</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Board of Directors authorized share repurchases under the Share Repurchase Program for up to $75.0 million, effective through March 31, 2024.</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 Upon Senior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Arrangements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560" w:type="dxa"/>
            <w:vAlign w:val="bottom"/>
            <w:gridSpan w:val="8"/>
          </w:tcPr>
          <w:p>
            <w:pPr>
              <w:ind w:left="31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60" w:type="dxa"/>
            <w:vAlign w:val="bottom"/>
            <w:tcBorders>
              <w:top w:val="single" w:sz="8" w:color="auto"/>
              <w:bottom w:val="single" w:sz="8" w:color="0000FF"/>
            </w:tcBorders>
            <w:gridSpan w:val="10"/>
          </w:tcPr>
          <w:p>
            <w:pPr>
              <w:spacing w:after="0"/>
              <w:rPr>
                <w:rFonts w:ascii="Arial" w:cs="Arial" w:eastAsia="Arial" w:hAnsi="Arial"/>
                <w:sz w:val="18"/>
                <w:szCs w:val="18"/>
                <w:color w:val="0000FF"/>
              </w:rPr>
            </w:pPr>
            <w:hyperlink r:id="rId45">
              <w:r>
                <w:rPr>
                  <w:rFonts w:ascii="Arial" w:cs="Arial" w:eastAsia="Arial" w:hAnsi="Arial"/>
                  <w:sz w:val="18"/>
                  <w:szCs w:val="18"/>
                  <w:color w:val="0000FF"/>
                </w:rPr>
                <w:t>Amended and Restated Certificate of Incorporation of Open Lending Corporation (incorporated by reference to Exhibit 3.1 to</w:t>
              </w:r>
            </w:hyperlink>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r:id="rId45">
              <w:r>
                <w:rPr>
                  <w:rFonts w:ascii="Arial" w:cs="Arial" w:eastAsia="Arial" w:hAnsi="Arial"/>
                  <w:sz w:val="18"/>
                  <w:szCs w:val="18"/>
                  <w:color w:val="0000FF"/>
                  <w:w w:val="99"/>
                </w:rPr>
                <w:t>Open Lending Corporation’s Current Report on Form 8-K filed June 15, 2020).</w:t>
              </w:r>
            </w:hyperlink>
          </w:p>
        </w:tc>
        <w:tc>
          <w:tcPr>
            <w:tcW w:w="3840" w:type="dxa"/>
            <w:vAlign w:val="bottom"/>
            <w:gridSpan w:val="6"/>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9"/>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Amended and Restated Bylaws of Open Lending Corporation (incorporated by reference to Exhibit 3.2 to Open Lending</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3"/>
          </w:tcPr>
          <w:p>
            <w:pPr>
              <w:spacing w:after="0" w:line="196"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Corporation’s Current Report on Form 8-K filed June 15, 2020).</w:t>
              </w:r>
            </w:hyperlink>
          </w:p>
        </w:tc>
        <w:tc>
          <w:tcPr>
            <w:tcW w:w="5020" w:type="dxa"/>
            <w:vAlign w:val="bottom"/>
            <w:gridSpan w:val="7"/>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6"/>
          </w:tcPr>
          <w:p>
            <w:pPr>
              <w:spacing w:after="0"/>
              <w:rPr>
                <w:rFonts w:ascii="Arial" w:cs="Arial" w:eastAsia="Arial" w:hAnsi="Arial"/>
                <w:sz w:val="18"/>
                <w:szCs w:val="18"/>
                <w:color w:val="0000FF"/>
                <w:w w:val="98"/>
              </w:rPr>
            </w:pPr>
            <w:hyperlink r:id="rId47">
              <w:r>
                <w:rPr>
                  <w:rFonts w:ascii="Arial" w:cs="Arial" w:eastAsia="Arial" w:hAnsi="Arial"/>
                  <w:sz w:val="18"/>
                  <w:szCs w:val="18"/>
                  <w:color w:val="0000FF"/>
                  <w:w w:val="98"/>
                </w:rPr>
                <w:t>Separation Agreement by and between the Company and Keith Jezek, dated March 22, 2024 (incorporated by reference to</w:t>
              </w:r>
            </w:hyperlink>
          </w:p>
        </w:tc>
        <w:tc>
          <w:tcPr>
            <w:tcW w:w="34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2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Exhibit 10.1 to Open Lending Corporation’s Current Report on Form 8-K filed March 25, 2024).</w:t>
              </w:r>
            </w:hyperlink>
          </w:p>
        </w:tc>
        <w:tc>
          <w:tcPr>
            <w:tcW w:w="2540" w:type="dxa"/>
            <w:vAlign w:val="bottom"/>
            <w:gridSpan w:val="5"/>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rFonts w:ascii="Arial" w:cs="Arial" w:eastAsia="Arial" w:hAnsi="Arial"/>
                <w:sz w:val="18"/>
                <w:szCs w:val="18"/>
                <w:color w:val="0000FF"/>
              </w:rPr>
            </w:pPr>
            <w:hyperlink r:id="rId48">
              <w:r>
                <w:rPr>
                  <w:rFonts w:ascii="Arial" w:cs="Arial" w:eastAsia="Arial" w:hAnsi="Arial"/>
                  <w:sz w:val="18"/>
                  <w:szCs w:val="18"/>
                  <w:color w:val="0000FF"/>
                </w:rPr>
                <w:t>Second Amendment to Employment Agreement by and between the Company and Charles D. Jehl, dated March 22, 2024</w:t>
              </w:r>
            </w:hyperlink>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2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7"/>
          </w:tcPr>
          <w:p>
            <w:pPr>
              <w:spacing w:after="0" w:line="19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(incorporated by reference to Exhibit 10.2 to Open Lending Corporation’s Current Report on Form 8-K filed March 25, 2024).</w:t>
              </w:r>
            </w:hyperlink>
          </w:p>
        </w:tc>
        <w:tc>
          <w:tcPr>
            <w:tcW w:w="180" w:type="dxa"/>
            <w:vAlign w:val="bottom"/>
            <w:gridSpan w:val="3"/>
          </w:tcPr>
          <w:p>
            <w:pPr>
              <w:spacing w:after="0"/>
              <w:rPr>
                <w:sz w:val="17"/>
                <w:szCs w:val="17"/>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0000FF"/>
              </w:rPr>
              <w:t>Certification of the Chief Executive Officer and Chief Financial Officer pursuant to Section 302 of the Sarbanes-Oxley Act of</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gridSpan w:val="2"/>
          </w:tcPr>
          <w:p>
            <w:pPr>
              <w:ind w:left="20"/>
              <w:spacing w:after="0" w:line="196" w:lineRule="exact"/>
              <w:rPr>
                <w:sz w:val="20"/>
                <w:szCs w:val="20"/>
                <w:color w:val="auto"/>
              </w:rPr>
            </w:pPr>
            <w:r>
              <w:rPr>
                <w:rFonts w:ascii="Arial" w:cs="Arial" w:eastAsia="Arial" w:hAnsi="Arial"/>
                <w:sz w:val="18"/>
                <w:szCs w:val="18"/>
                <w:color w:val="0000FF"/>
                <w:w w:val="93"/>
              </w:rPr>
              <w:t>2002.</w:t>
            </w:r>
          </w:p>
        </w:tc>
        <w:tc>
          <w:tcPr>
            <w:tcW w:w="10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4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Certification of Chief Executive Officer and Chief Financial Officer pursuant to Section 906 of the Sarbanes-Oxley Act of 2002</w:t>
            </w:r>
          </w:p>
        </w:tc>
        <w:tc>
          <w:tcPr>
            <w:tcW w:w="12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8"/>
              </w:rPr>
              <w:t>(18 U.S.C. § 1350)</w:t>
            </w:r>
          </w:p>
        </w:tc>
        <w:tc>
          <w:tcPr>
            <w:tcW w:w="8560" w:type="dxa"/>
            <w:vAlign w:val="bottom"/>
            <w:gridSpan w:val="8"/>
          </w:tcPr>
          <w:p>
            <w:pPr>
              <w:spacing w:after="0"/>
              <w:rPr>
                <w:sz w:val="17"/>
                <w:szCs w:val="17"/>
                <w:color w:val="auto"/>
              </w:rPr>
            </w:pPr>
          </w:p>
        </w:tc>
      </w:tr>
      <w:tr>
        <w:trPr>
          <w:trHeight w:val="326"/>
        </w:trPr>
        <w:tc>
          <w:tcPr>
            <w:tcW w:w="9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The following financial statements from Open Lending Corporation’s Quarterly Report on Form 10-Q for the quarterly period</w:t>
            </w:r>
          </w:p>
        </w:tc>
      </w:tr>
      <w:tr>
        <w:trPr>
          <w:trHeight w:val="239"/>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ended March 31, 2024, formatted in iXBRL (Inline eXtensible Business Reporting Language):</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 Condensed Consolidated Balance Sheets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(ii) Condensed Consolidated Statement of Operations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(iii) Condensed Consolidated Statements of Changes in Stockholders’ Equity</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(iv) Condensed Consolidated Statements of Cash Flows</w:t>
            </w:r>
          </w:p>
        </w:tc>
      </w:tr>
      <w:tr>
        <w:trPr>
          <w:trHeight w:val="324"/>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(v) Notes to Condensed Consolidated Financial Statements</w:t>
            </w:r>
          </w:p>
        </w:tc>
      </w:tr>
      <w:tr>
        <w:trPr>
          <w:trHeight w:val="324"/>
        </w:trPr>
        <w:tc>
          <w:tcPr>
            <w:tcW w:w="92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44" w:lineRule="exact"/>
        <w:rPr>
          <w:sz w:val="20"/>
          <w:szCs w:val="20"/>
          <w:color w:val="auto"/>
        </w:rPr>
      </w:pPr>
    </w:p>
    <w:p>
      <w:pPr>
        <w:ind w:left="1180" w:hanging="755"/>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1180" w:hanging="790"/>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380" w:firstLine="486"/>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OPEN LENDING CORPORATION</w:t>
            </w:r>
          </w:p>
        </w:tc>
      </w:tr>
      <w:tr>
        <w:trPr>
          <w:trHeight w:val="495"/>
        </w:trPr>
        <w:tc>
          <w:tcPr>
            <w:tcW w:w="6100" w:type="dxa"/>
            <w:vAlign w:val="bottom"/>
          </w:tcPr>
          <w:p>
            <w:pPr>
              <w:spacing w:after="0"/>
              <w:rPr>
                <w:sz w:val="24"/>
                <w:szCs w:val="24"/>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Charles D. Jehl</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Charles D. Jehl</w:t>
            </w:r>
          </w:p>
        </w:tc>
      </w:tr>
      <w:tr>
        <w:trPr>
          <w:trHeight w:val="181"/>
        </w:trPr>
        <w:tc>
          <w:tcPr>
            <w:tcW w:w="6100" w:type="dxa"/>
            <w:vAlign w:val="bottom"/>
          </w:tcPr>
          <w:p>
            <w:pPr>
              <w:spacing w:after="0" w:line="181" w:lineRule="exact"/>
              <w:rPr>
                <w:sz w:val="20"/>
                <w:szCs w:val="20"/>
                <w:color w:val="auto"/>
              </w:rPr>
            </w:pPr>
            <w:r>
              <w:rPr>
                <w:rFonts w:ascii="Arial" w:cs="Arial" w:eastAsia="Arial" w:hAnsi="Arial"/>
                <w:sz w:val="18"/>
                <w:szCs w:val="18"/>
                <w:color w:val="auto"/>
              </w:rPr>
              <w:t>May 8, 2024</w:t>
            </w: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Financial Officer, Chief Operating Officer, and Interim</w:t>
            </w:r>
          </w:p>
        </w:tc>
      </w:tr>
      <w:tr>
        <w:trPr>
          <w:trHeight w:val="175"/>
        </w:trPr>
        <w:tc>
          <w:tcPr>
            <w:tcW w:w="6100" w:type="dxa"/>
            <w:vAlign w:val="bottom"/>
          </w:tcPr>
          <w:p>
            <w:pPr>
              <w:spacing w:after="0"/>
              <w:rPr>
                <w:sz w:val="15"/>
                <w:szCs w:val="15"/>
                <w:color w:val="auto"/>
              </w:rPr>
            </w:pPr>
          </w:p>
        </w:tc>
        <w:tc>
          <w:tcPr>
            <w:tcW w:w="508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21" w:right="3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Keith A. Jezek, certify that:</w:t>
      </w:r>
    </w:p>
    <w:p>
      <w:pPr>
        <w:spacing w:after="0" w:line="117" w:lineRule="exact"/>
        <w:rPr>
          <w:sz w:val="20"/>
          <w:szCs w:val="20"/>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Open Lending Corporation (the “Registrant”);</w:t>
      </w:r>
    </w:p>
    <w:p>
      <w:pPr>
        <w:spacing w:after="0" w:line="117" w:lineRule="exact"/>
        <w:rPr>
          <w:sz w:val="20"/>
          <w:szCs w:val="20"/>
          <w:color w:val="auto"/>
        </w:rPr>
      </w:pPr>
    </w:p>
    <w:p>
      <w:pPr>
        <w:jc w:val="both"/>
        <w:ind w:left="980" w:right="20" w:hanging="486"/>
        <w:spacing w:after="0" w:line="268" w:lineRule="auto"/>
        <w:tabs>
          <w:tab w:leader="none" w:pos="97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sz w:val="20"/>
          <w:szCs w:val="20"/>
          <w:color w:val="auto"/>
        </w:rPr>
      </w:pPr>
    </w:p>
    <w:p>
      <w:pPr>
        <w:jc w:val="both"/>
        <w:ind w:left="980" w:hanging="486"/>
        <w:spacing w:after="0" w:line="268" w:lineRule="auto"/>
        <w:tabs>
          <w:tab w:leader="none" w:pos="97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4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980" w:hanging="486"/>
        <w:spacing w:after="0" w:line="268" w:lineRule="auto"/>
        <w:tabs>
          <w:tab w:leader="none" w:pos="9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460" w:hanging="480"/>
        <w:spacing w:after="0" w:line="268"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460" w:hanging="480"/>
        <w:spacing w:after="0" w:line="287" w:lineRule="auto"/>
        <w:tabs>
          <w:tab w:leader="none" w:pos="14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00" w:type="dxa"/>
            <w:vAlign w:val="bottom"/>
          </w:tcPr>
          <w:p>
            <w:pPr>
              <w:spacing w:after="0"/>
              <w:rPr>
                <w:sz w:val="20"/>
                <w:szCs w:val="20"/>
                <w:color w:val="auto"/>
              </w:rPr>
            </w:pPr>
            <w:r>
              <w:rPr>
                <w:rFonts w:ascii="Arial" w:cs="Arial" w:eastAsia="Arial" w:hAnsi="Arial"/>
                <w:sz w:val="18"/>
                <w:szCs w:val="18"/>
                <w:color w:val="auto"/>
              </w:rPr>
              <w:t>Date: May 8, 2024</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Keith A. Jezek</w:t>
            </w:r>
          </w:p>
        </w:tc>
      </w:tr>
      <w:tr>
        <w:trPr>
          <w:trHeight w:val="218"/>
        </w:trPr>
        <w:tc>
          <w:tcPr>
            <w:tcW w:w="610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Keith A. Jezek</w:t>
            </w:r>
          </w:p>
        </w:tc>
      </w:tr>
      <w:tr>
        <w:trPr>
          <w:trHeight w:val="181"/>
        </w:trPr>
        <w:tc>
          <w:tcPr>
            <w:tcW w:w="610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Arial" w:cs="Arial" w:eastAsia="Arial" w:hAnsi="Arial"/>
                <w:sz w:val="18"/>
                <w:szCs w:val="18"/>
                <w:color w:val="auto"/>
              </w:rPr>
              <w:t>Chief Executive Officer</w:t>
            </w:r>
          </w:p>
        </w:tc>
      </w:tr>
      <w:tr>
        <w:trPr>
          <w:trHeight w:val="239"/>
        </w:trPr>
        <w:tc>
          <w:tcPr>
            <w:tcW w:w="610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06"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Annual Report on Form 10-K for the fiscal year ended March 31, 2024 of Open Lending Corporation, a Delaware corporation (the “Company”), as filed with the Securities and Exchange Commission on the date hereof (the “Form 10-K”), I, Keith A. Jezek, Chief Executive Officer of the Company, certify, pursuant to 18 U.S.C. section 1350, as adopted pursuant to section 906 of the Sarbanes-Oxley Act of 2002, that to the best of my knowledge:</w:t>
      </w:r>
    </w:p>
    <w:p>
      <w:pPr>
        <w:spacing w:after="0" w:line="68" w:lineRule="exact"/>
        <w:rPr>
          <w:sz w:val="20"/>
          <w:szCs w:val="20"/>
          <w:color w:val="auto"/>
        </w:rPr>
      </w:pPr>
    </w:p>
    <w:p>
      <w:pPr>
        <w:ind w:left="500" w:right="660" w:hanging="492"/>
        <w:spacing w:after="0" w:line="287" w:lineRule="auto"/>
        <w:tabs>
          <w:tab w:leader="none" w:pos="4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Form 10-K fully complies with the requirements of section 13(a) or section 15(d) of the Securities Exchange Act of 1934, as amended; and</w:t>
      </w:r>
    </w:p>
    <w:p>
      <w:pPr>
        <w:spacing w:after="0" w:line="44" w:lineRule="exact"/>
        <w:rPr>
          <w:rFonts w:ascii="Arial" w:cs="Arial" w:eastAsia="Arial" w:hAnsi="Arial"/>
          <w:sz w:val="18"/>
          <w:szCs w:val="18"/>
          <w:color w:val="auto"/>
        </w:rPr>
      </w:pPr>
    </w:p>
    <w:p>
      <w:pPr>
        <w:ind w:left="500" w:right="20" w:hanging="492"/>
        <w:spacing w:after="0" w:line="287" w:lineRule="auto"/>
        <w:tabs>
          <w:tab w:leader="none" w:pos="497"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 of operations of the Company.</w:t>
      </w:r>
    </w:p>
    <w:p>
      <w:pPr>
        <w:spacing w:after="0" w:line="7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Keith A. Jezek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32232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Keith A. Jezek</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ind w:left="614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Date: May 8, 2024</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3"/>
      <w:numFmt w:val="bullet"/>
      <w:start w:val="1"/>
    </w:lvl>
  </w:abstractNum>
  <w:abstractNum w:abstractNumId="11">
    <w:nsid w:val="3352255A"/>
    <w:multiLevelType w:val="hybridMultilevel"/>
    <w:lvl w:ilvl="0">
      <w:lvlJc w:val="left"/>
      <w:lvlText w:val="4"/>
      <w:numFmt w:val="bullet"/>
      <w:start w:val="1"/>
    </w:lvl>
    <w:lvl w:ilvl="1">
      <w:lvlJc w:val="left"/>
      <w:lvlText w:val="%2)"/>
      <w:numFmt w:val="lowerLetter"/>
      <w:start w:val="1"/>
    </w:lvl>
  </w:abstractNum>
  <w:abstractNum w:abstractNumId="12">
    <w:nsid w:val="109CF92E"/>
    <w:multiLevelType w:val="hybridMultilevel"/>
    <w:lvl w:ilvl="0">
      <w:lvlJc w:val="left"/>
      <w:lvlText w:val="5"/>
      <w:numFmt w:val="bullet"/>
      <w:start w:val="1"/>
    </w:lvl>
    <w:lvl w:ilvl="1">
      <w:lvlJc w:val="left"/>
      <w:lvlText w:val="%2)"/>
      <w:numFmt w:val="lowerLetter"/>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45" Type="http://schemas.openxmlformats.org/officeDocument/2006/relationships/hyperlink" Target="https://www.sec.gov/Archives/edgar/data/1806201/000119312520169633/d941403dex31.htm" TargetMode="External"/><Relationship Id="rId46" Type="http://schemas.openxmlformats.org/officeDocument/2006/relationships/hyperlink" Target="https://www.sec.gov/Archives/edgar/data/1806201/000119312520169633/d941403dex32.htm" TargetMode="External"/><Relationship Id="rId47" Type="http://schemas.openxmlformats.org/officeDocument/2006/relationships/hyperlink" Target="https://www.sec.gov/Archives/edgar/data/1806201/000119312524075974/d802928dex101.htm" TargetMode="External"/><Relationship Id="rId48" Type="http://schemas.openxmlformats.org/officeDocument/2006/relationships/hyperlink" Target="https://www.sec.gov/Archives/edgar/data/1806201/000119312524075974/d802928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2024-05-08T15:21:57Z</dcterms:created>
  <dcterms:modified xsi:type="dcterms:W3CDTF">2024-05-08T15:21:57Z</dcterms:modified>
</cp:coreProperties>
</file>