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387985</wp:posOffset>
            </wp:positionH>
            <wp:positionV relativeFrom="page">
              <wp:posOffset>697230</wp:posOffset>
            </wp:positionV>
            <wp:extent cx="67722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spacing w:after="0" w:line="298"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Washington, D.C. 20549</w:t>
      </w:r>
    </w:p>
    <w:p>
      <w:pPr>
        <w:spacing w:after="0" w:line="86"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10-K</w:t>
      </w:r>
    </w:p>
    <w:p>
      <w:pPr>
        <w:spacing w:after="0" w:line="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8" w:lineRule="exact"/>
        <w:rPr>
          <w:sz w:val="24"/>
          <w:szCs w:val="24"/>
          <w:color w:val="auto"/>
        </w:rPr>
      </w:pPr>
    </w:p>
    <w:p>
      <w:pPr>
        <w:ind w:left="3920" w:right="1380" w:hanging="3453"/>
        <w:spacing w:after="0" w:line="376" w:lineRule="auto"/>
        <w:tabs>
          <w:tab w:leader="none" w:pos="81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spacing w:after="0" w:line="117"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OR</w:t>
      </w:r>
    </w:p>
    <w:p>
      <w:pPr>
        <w:spacing w:after="0" w:line="397" w:lineRule="exact"/>
        <w:rPr>
          <w:sz w:val="24"/>
          <w:szCs w:val="24"/>
          <w:color w:val="auto"/>
        </w:rPr>
      </w:pPr>
    </w:p>
    <w:p>
      <w:pPr>
        <w:ind w:left="3080" w:right="960" w:hanging="2600"/>
        <w:spacing w:after="0" w:line="407" w:lineRule="auto"/>
        <w:tabs>
          <w:tab w:leader="none" w:pos="875"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 to _______________</w:t>
      </w:r>
    </w:p>
    <w:p>
      <w:pPr>
        <w:spacing w:after="0" w:line="108"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Commission file number 001-39326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85725</wp:posOffset>
            </wp:positionV>
            <wp:extent cx="1285875" cy="342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5875"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OPEN LENDING CORPORATION</w:t>
      </w:r>
    </w:p>
    <w:p>
      <w:pPr>
        <w:spacing w:after="0" w:line="105"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(Exact name of registrant as specified in its charter)</w:t>
      </w:r>
    </w:p>
    <w:p>
      <w:pPr>
        <w:sectPr>
          <w:pgSz w:w="11900" w:h="16838" w:orient="portrait"/>
          <w:cols w:equalWidth="0" w:num="1">
            <w:col w:w="11000"/>
          </w:cols>
          <w:pgMar w:left="320" w:top="1440" w:right="579" w:bottom="1440" w:gutter="0" w:footer="0" w:header="0"/>
        </w:sectPr>
      </w:pPr>
    </w:p>
    <w:p>
      <w:pPr>
        <w:spacing w:after="0" w:line="161" w:lineRule="exact"/>
        <w:rPr>
          <w:sz w:val="24"/>
          <w:szCs w:val="24"/>
          <w:color w:val="auto"/>
        </w:rPr>
      </w:pPr>
    </w:p>
    <w:p>
      <w:pPr>
        <w:ind w:left="26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84-5031428</w:t>
      </w:r>
    </w:p>
    <w:p>
      <w:pPr>
        <w:spacing w:after="0" w:line="77" w:lineRule="exact"/>
        <w:rPr>
          <w:sz w:val="24"/>
          <w:szCs w:val="24"/>
          <w:color w:val="auto"/>
        </w:rPr>
      </w:pPr>
    </w:p>
    <w:p>
      <w:pPr>
        <w:sectPr>
          <w:pgSz w:w="11900" w:h="16838" w:orient="portrait"/>
          <w:cols w:equalWidth="0" w:num="2">
            <w:col w:w="7660" w:space="720"/>
            <w:col w:w="2620"/>
          </w:cols>
          <w:pgMar w:left="320" w:top="1440" w:right="579" w:bottom="1440" w:gutter="0" w:footer="0" w:header="0"/>
          <w:type w:val="continuous"/>
        </w:sectPr>
      </w:pPr>
    </w:p>
    <w:p>
      <w:pPr>
        <w:ind w:left="8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111" w:lineRule="exact"/>
        <w:rPr>
          <w:sz w:val="24"/>
          <w:szCs w:val="24"/>
          <w:color w:val="auto"/>
        </w:rPr>
      </w:pPr>
    </w:p>
    <w:p>
      <w:pPr>
        <w:sectPr>
          <w:pgSz w:w="11900" w:h="16838" w:orient="portrait"/>
          <w:cols w:equalWidth="0" w:num="2">
            <w:col w:w="6800" w:space="720"/>
            <w:col w:w="3480"/>
          </w:cols>
          <w:pgMar w:left="320" w:top="1440" w:right="579" w:bottom="1440" w:gutter="0" w:footer="0" w:header="0"/>
          <w:type w:val="continuous"/>
        </w:sectPr>
      </w:pPr>
    </w:p>
    <w:p>
      <w:pPr>
        <w:ind w:left="1560"/>
        <w:spacing w:after="0"/>
        <w:rPr>
          <w:sz w:val="20"/>
          <w:szCs w:val="20"/>
          <w:color w:val="auto"/>
        </w:rPr>
      </w:pPr>
      <w:r>
        <w:rPr>
          <w:rFonts w:ascii="Arial" w:cs="Arial" w:eastAsia="Arial" w:hAnsi="Arial"/>
          <w:sz w:val="16"/>
          <w:szCs w:val="16"/>
          <w:b w:val="1"/>
          <w:bCs w:val="1"/>
          <w:color w:val="auto"/>
        </w:rPr>
        <w:t>1501 S. MoPac Expressway Suite #450</w:t>
      </w:r>
    </w:p>
    <w:p>
      <w:pPr>
        <w:spacing w:after="0" w:line="20" w:lineRule="exact"/>
        <w:rPr>
          <w:sz w:val="24"/>
          <w:szCs w:val="24"/>
          <w:color w:val="auto"/>
        </w:rPr>
      </w:pPr>
      <w:r>
        <w:rPr>
          <w:sz w:val="24"/>
          <w:szCs w:val="24"/>
          <w:color w:val="auto"/>
        </w:rPr>
        <w:br w:type="column"/>
      </w:r>
    </w:p>
    <w:p>
      <w:pPr>
        <w:spacing w:after="0"/>
        <w:tabs>
          <w:tab w:leader="none" w:pos="820" w:val="left"/>
        </w:tabs>
        <w:rPr>
          <w:sz w:val="20"/>
          <w:szCs w:val="20"/>
          <w:color w:val="auto"/>
        </w:rPr>
      </w:pPr>
      <w:r>
        <w:rPr>
          <w:rFonts w:ascii="Arial" w:cs="Arial" w:eastAsia="Arial" w:hAnsi="Arial"/>
          <w:sz w:val="13"/>
          <w:szCs w:val="13"/>
          <w:b w:val="1"/>
          <w:bCs w:val="1"/>
          <w:color w:val="auto"/>
        </w:rPr>
        <w:t>Austin</w:t>
      </w:r>
      <w:r>
        <w:rPr>
          <w:sz w:val="20"/>
          <w:szCs w:val="20"/>
          <w:color w:val="auto"/>
        </w:rPr>
        <w:tab/>
      </w:r>
      <w:r>
        <w:rPr>
          <w:rFonts w:ascii="Arial" w:cs="Arial" w:eastAsia="Arial" w:hAnsi="Arial"/>
          <w:sz w:val="13"/>
          <w:szCs w:val="13"/>
          <w:b w:val="1"/>
          <w:bCs w:val="1"/>
          <w:color w:val="auto"/>
        </w:rPr>
        <w:t>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78746</w:t>
      </w:r>
    </w:p>
    <w:p>
      <w:pPr>
        <w:spacing w:after="0" w:line="88" w:lineRule="exact"/>
        <w:rPr>
          <w:sz w:val="24"/>
          <w:szCs w:val="24"/>
          <w:color w:val="auto"/>
        </w:rPr>
      </w:pPr>
    </w:p>
    <w:p>
      <w:pPr>
        <w:sectPr>
          <w:pgSz w:w="11900" w:h="16838" w:orient="portrait"/>
          <w:cols w:equalWidth="0" w:num="3">
            <w:col w:w="5040" w:space="720"/>
            <w:col w:w="2120" w:space="720"/>
            <w:col w:w="2400"/>
          </w:cols>
          <w:pgMar w:left="320" w:top="1440" w:right="579" w:bottom="1440" w:gutter="0" w:footer="0" w:header="0"/>
          <w:type w:val="continuous"/>
        </w:sectPr>
      </w:pPr>
    </w:p>
    <w:p>
      <w:pPr>
        <w:ind w:left="15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63" w:lineRule="exact"/>
        <w:rPr>
          <w:sz w:val="24"/>
          <w:szCs w:val="24"/>
          <w:color w:val="auto"/>
        </w:rPr>
      </w:pPr>
    </w:p>
    <w:p>
      <w:pPr>
        <w:sectPr>
          <w:pgSz w:w="11900" w:h="16838" w:orient="portrait"/>
          <w:cols w:equalWidth="0" w:num="2">
            <w:col w:w="7700" w:space="720"/>
            <w:col w:w="2580"/>
          </w:cols>
          <w:pgMar w:left="320" w:top="1440" w:right="579" w:bottom="1440" w:gutter="0" w:footer="0" w:header="0"/>
          <w:type w:val="continuous"/>
        </w:sectPr>
      </w:pPr>
    </w:p>
    <w:p>
      <w:pPr>
        <w:jc w:val="center"/>
        <w:ind w:right="-239"/>
        <w:spacing w:after="0"/>
        <w:rPr>
          <w:sz w:val="20"/>
          <w:szCs w:val="20"/>
          <w:color w:val="auto"/>
        </w:rPr>
      </w:pPr>
      <w:r>
        <w:rPr>
          <w:rFonts w:ascii="Arial" w:cs="Arial" w:eastAsia="Arial" w:hAnsi="Arial"/>
          <w:sz w:val="18"/>
          <w:szCs w:val="18"/>
          <w:b w:val="1"/>
          <w:bCs w:val="1"/>
          <w:color w:val="auto"/>
        </w:rPr>
        <w:t>(512) 892-0400</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000"/>
          </w:cols>
          <w:pgMar w:left="320" w:top="1440" w:right="5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3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4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92"/>
        </w:trPr>
        <w:tc>
          <w:tcPr>
            <w:tcW w:w="3580" w:type="dxa"/>
            <w:vAlign w:val="bottom"/>
            <w:gridSpan w:val="2"/>
            <w:vMerge w:val="continue"/>
          </w:tcPr>
          <w:p>
            <w:pPr>
              <w:spacing w:after="0"/>
              <w:rPr>
                <w:sz w:val="16"/>
                <w:szCs w:val="16"/>
                <w:color w:val="auto"/>
              </w:rPr>
            </w:pPr>
          </w:p>
        </w:tc>
        <w:tc>
          <w:tcPr>
            <w:tcW w:w="3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4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34"/>
        </w:trPr>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20"/>
                <w:szCs w:val="20"/>
                <w:color w:val="auto"/>
              </w:rPr>
            </w:pP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LPRO</w:t>
            </w:r>
          </w:p>
        </w:tc>
        <w:tc>
          <w:tcPr>
            <w:tcW w:w="100" w:type="dxa"/>
            <w:vAlign w:val="bottom"/>
          </w:tcPr>
          <w:p>
            <w:pPr>
              <w:spacing w:after="0"/>
              <w:rPr>
                <w:sz w:val="20"/>
                <w:szCs w:val="20"/>
                <w:color w:val="auto"/>
              </w:rPr>
            </w:pP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340" w:lineRule="exact"/>
        <w:rPr>
          <w:sz w:val="24"/>
          <w:szCs w:val="24"/>
          <w:color w:val="auto"/>
        </w:rPr>
      </w:pPr>
    </w:p>
    <w:p>
      <w:pPr>
        <w:ind w:right="1400"/>
        <w:spacing w:after="0" w:line="303"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40" w:right="579" w:bottom="1440" w:gutter="0" w:footer="0" w:header="0"/>
          <w:type w:val="continuous"/>
        </w:sectPr>
      </w:pPr>
    </w:p>
    <w:bookmarkStart w:id="1" w:name="page2"/>
    <w:bookmarkEnd w:id="1"/>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 (Check one):</w:t>
      </w:r>
    </w:p>
    <w:p>
      <w:pPr>
        <w:spacing w:after="0" w:line="70" w:lineRule="exact"/>
        <w:rPr>
          <w:sz w:val="20"/>
          <w:szCs w:val="20"/>
          <w:color w:val="auto"/>
        </w:rPr>
      </w:pPr>
    </w:p>
    <w:tbl>
      <w:tblPr>
        <w:tblLayout w:type="fixed"/>
        <w:tblInd w:w="1420" w:type="dxa"/>
        <w:tblCellMar>
          <w:top w:w="0" w:type="dxa"/>
          <w:left w:w="0" w:type="dxa"/>
          <w:bottom w:w="0" w:type="dxa"/>
          <w:right w:w="0" w:type="dxa"/>
        </w:tblCellMar>
      </w:tblPr>
      <w:tr>
        <w:trPr>
          <w:trHeight w:val="257"/>
        </w:trPr>
        <w:tc>
          <w:tcPr>
            <w:tcW w:w="2220" w:type="dxa"/>
            <w:vAlign w:val="bottom"/>
          </w:tcPr>
          <w:p>
            <w:pPr>
              <w:jc w:val="center"/>
              <w:ind w:right="510"/>
              <w:spacing w:after="0"/>
              <w:rPr>
                <w:sz w:val="20"/>
                <w:szCs w:val="20"/>
                <w:color w:val="auto"/>
              </w:rPr>
            </w:pPr>
            <w:r>
              <w:rPr>
                <w:rFonts w:ascii="Arial" w:cs="Arial" w:eastAsia="Arial" w:hAnsi="Arial"/>
                <w:sz w:val="18"/>
                <w:szCs w:val="18"/>
                <w:color w:val="auto"/>
                <w:w w:val="90"/>
              </w:rPr>
              <w:t>Large accelerated filer</w:t>
            </w:r>
          </w:p>
        </w:tc>
        <w:tc>
          <w:tcPr>
            <w:tcW w:w="13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200" w:type="dxa"/>
            <w:vAlign w:val="bottom"/>
          </w:tcPr>
          <w:p>
            <w:pPr>
              <w:ind w:left="58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220" w:type="dxa"/>
            <w:vAlign w:val="bottom"/>
          </w:tcPr>
          <w:p>
            <w:pPr>
              <w:jc w:val="center"/>
              <w:ind w:right="530"/>
              <w:spacing w:after="0"/>
              <w:rPr>
                <w:sz w:val="20"/>
                <w:szCs w:val="20"/>
                <w:color w:val="auto"/>
              </w:rPr>
            </w:pPr>
            <w:r>
              <w:rPr>
                <w:rFonts w:ascii="Arial" w:cs="Arial" w:eastAsia="Arial" w:hAnsi="Arial"/>
                <w:sz w:val="18"/>
                <w:szCs w:val="18"/>
                <w:color w:val="auto"/>
                <w:w w:val="91"/>
              </w:rPr>
              <w:t>Non-accelerated filer</w:t>
            </w:r>
          </w:p>
        </w:tc>
        <w:tc>
          <w:tcPr>
            <w:tcW w:w="13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200" w:type="dxa"/>
            <w:vAlign w:val="bottom"/>
          </w:tcPr>
          <w:p>
            <w:pPr>
              <w:ind w:left="58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0" w:type="dxa"/>
            <w:vAlign w:val="bottom"/>
          </w:tcPr>
          <w:p>
            <w:pPr>
              <w:ind w:left="580"/>
              <w:spacing w:after="0"/>
              <w:rPr>
                <w:sz w:val="20"/>
                <w:szCs w:val="20"/>
                <w:color w:val="auto"/>
              </w:rPr>
            </w:pPr>
            <w:r>
              <w:rPr>
                <w:rFonts w:ascii="Arial" w:cs="Arial" w:eastAsia="Arial" w:hAnsi="Arial"/>
                <w:sz w:val="18"/>
                <w:szCs w:val="18"/>
                <w:color w:val="auto"/>
              </w:rPr>
              <w:t>Emerging growth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0"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0"/>
          <w:szCs w:val="20"/>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76"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74"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42" w:lineRule="exact"/>
        <w:rPr>
          <w:sz w:val="20"/>
          <w:szCs w:val="20"/>
          <w:color w:val="auto"/>
        </w:rPr>
      </w:pPr>
    </w:p>
    <w:p>
      <w:pPr>
        <w:spacing w:after="0" w:line="207" w:lineRule="exact"/>
        <w:tabs>
          <w:tab w:leader="none" w:pos="7620" w:val="left"/>
          <w:tab w:leader="none" w:pos="82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aggregate market value of voting stock held by non-affiliates of the Registrant on June 30, 2022, based on the closing price of $10.23 for shares of the Registrant’s common stock as reported by the Nasdaq, was approximately $0.9 billion. Shares of common stock beneficially owned by each executive officer, director and holders of more than 10% of the Registrant’s common stock have been excluded in that such persons may be deemed to be affiliates. This determination of affiliate status is not necessarily a conclusive determination for other purposes.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27, 2023, the registrant had 123,687,207 outstanding shares of common stock, $0.01 par value per share, outstanding.</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DOCUMENTS INCORPORATED BY REFERENCE</w:t>
      </w:r>
    </w:p>
    <w:p>
      <w:pPr>
        <w:spacing w:after="0" w:line="23"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Selected portions of the Company’s definitive proxy statement for the 2023 annual meeting of stockholders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1099820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401320</wp:posOffset>
            </wp:positionV>
            <wp:extent cx="67722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320" w:type="dxa"/>
            <w:vAlign w:val="bottom"/>
            <w:gridSpan w:val="9"/>
          </w:tcPr>
          <w:p>
            <w:pPr>
              <w:ind w:left="54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0" w:type="dxa"/>
            <w:vAlign w:val="bottom"/>
          </w:tcPr>
          <w:p>
            <w:pPr>
              <w:spacing w:after="0"/>
              <w:rPr>
                <w:sz w:val="24"/>
                <w:szCs w:val="24"/>
                <w:color w:val="auto"/>
              </w:rPr>
            </w:pPr>
          </w:p>
        </w:tc>
        <w:tc>
          <w:tcPr>
            <w:tcW w:w="480" w:type="dxa"/>
            <w:vAlign w:val="bottom"/>
            <w:gridSpan w:val="3"/>
            <w:vMerge w:val="restart"/>
          </w:tcPr>
          <w:p>
            <w:pPr>
              <w:spacing w:after="0"/>
              <w:rPr>
                <w:sz w:val="20"/>
                <w:szCs w:val="20"/>
                <w:color w:val="auto"/>
              </w:rPr>
            </w:pPr>
            <w:r>
              <w:rPr>
                <w:rFonts w:ascii="Arial" w:cs="Arial" w:eastAsia="Arial" w:hAnsi="Arial"/>
                <w:sz w:val="18"/>
                <w:szCs w:val="18"/>
                <w:color w:val="0000FF"/>
              </w:rPr>
              <w:t>Part I</w:t>
            </w:r>
          </w:p>
        </w:tc>
        <w:tc>
          <w:tcPr>
            <w:tcW w:w="9940" w:type="dxa"/>
            <w:vAlign w:val="bottom"/>
            <w:gridSpan w:val="21"/>
            <w:vMerge w:val="restart"/>
          </w:tcPr>
          <w:p>
            <w:pPr>
              <w:spacing w:after="0"/>
              <w:rPr>
                <w:sz w:val="24"/>
                <w:szCs w:val="24"/>
                <w:color w:val="auto"/>
              </w:rPr>
            </w:pPr>
          </w:p>
        </w:tc>
        <w:tc>
          <w:tcPr>
            <w:tcW w:w="800" w:type="dxa"/>
            <w:vAlign w:val="bottom"/>
            <w:gridSpan w:val="4"/>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Borders>
              <w:bottom w:val="single" w:sz="8" w:color="0000FF"/>
            </w:tcBorders>
            <w:gridSpan w:val="3"/>
            <w:vMerge w:val="continue"/>
          </w:tcPr>
          <w:p>
            <w:pPr>
              <w:spacing w:after="0"/>
              <w:rPr>
                <w:sz w:val="15"/>
                <w:szCs w:val="15"/>
                <w:color w:val="auto"/>
              </w:rPr>
            </w:pPr>
          </w:p>
        </w:tc>
        <w:tc>
          <w:tcPr>
            <w:tcW w:w="9940" w:type="dxa"/>
            <w:vAlign w:val="bottom"/>
            <w:gridSpan w:val="21"/>
            <w:vMerge w:val="continue"/>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0E32E1"/>
            </w:tcBorders>
          </w:tcPr>
          <w:p>
            <w:pPr>
              <w:jc w:val="center"/>
              <w:spacing w:after="0" w:line="156" w:lineRule="exact"/>
              <w:rPr>
                <w:sz w:val="20"/>
                <w:szCs w:val="20"/>
                <w:color w:val="auto"/>
              </w:rPr>
            </w:pPr>
            <w:r>
              <w:rPr>
                <w:rFonts w:ascii="Arial" w:cs="Arial" w:eastAsia="Arial" w:hAnsi="Arial"/>
                <w:sz w:val="18"/>
                <w:szCs w:val="18"/>
                <w:color w:val="0E32E1"/>
                <w:w w:val="99"/>
              </w:rPr>
              <w:t>2</w:t>
            </w:r>
          </w:p>
        </w:tc>
        <w:tc>
          <w:tcPr>
            <w:tcW w:w="3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20" w:type="dxa"/>
            <w:vAlign w:val="bottom"/>
            <w:gridSpan w:val="23"/>
          </w:tcPr>
          <w:p>
            <w:pPr>
              <w:spacing w:after="0"/>
              <w:rPr>
                <w:sz w:val="20"/>
                <w:szCs w:val="20"/>
                <w:color w:val="auto"/>
              </w:rPr>
            </w:pPr>
            <w:r>
              <w:rPr>
                <w:rFonts w:ascii="Arial" w:cs="Arial" w:eastAsia="Arial" w:hAnsi="Arial"/>
                <w:sz w:val="18"/>
                <w:szCs w:val="18"/>
                <w:color w:val="0000FF"/>
              </w:rPr>
              <w:t>Item 1. Business</w:t>
            </w:r>
          </w:p>
        </w:tc>
        <w:tc>
          <w:tcPr>
            <w:tcW w:w="440" w:type="dxa"/>
            <w:vAlign w:val="bottom"/>
            <w:gridSpan w:val="2"/>
          </w:tcPr>
          <w:p>
            <w:pPr>
              <w:jc w:val="center"/>
              <w:ind w:left="250"/>
              <w:spacing w:after="0"/>
              <w:rPr>
                <w:sz w:val="20"/>
                <w:szCs w:val="20"/>
                <w:color w:val="auto"/>
              </w:rPr>
            </w:pPr>
            <w:r>
              <w:rPr>
                <w:rFonts w:ascii="Arial" w:cs="Arial" w:eastAsia="Arial" w:hAnsi="Arial"/>
                <w:sz w:val="18"/>
                <w:szCs w:val="18"/>
                <w:color w:val="0000FF"/>
                <w:w w:val="99"/>
              </w:rPr>
              <w:t>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40" w:type="dxa"/>
            <w:vAlign w:val="bottom"/>
            <w:gridSpan w:val="21"/>
          </w:tcPr>
          <w:p>
            <w:pPr>
              <w:spacing w:after="0"/>
              <w:rPr>
                <w:sz w:val="20"/>
                <w:szCs w:val="20"/>
                <w:color w:val="auto"/>
              </w:rPr>
            </w:pPr>
            <w:r>
              <w:rPr>
                <w:rFonts w:ascii="Arial" w:cs="Arial" w:eastAsia="Arial" w:hAnsi="Arial"/>
                <w:sz w:val="18"/>
                <w:szCs w:val="18"/>
                <w:color w:val="0000FF"/>
              </w:rPr>
              <w:t>Item 1A. Risk Factors</w:t>
            </w:r>
          </w:p>
        </w:tc>
        <w:tc>
          <w:tcPr>
            <w:tcW w:w="440" w:type="dxa"/>
            <w:vAlign w:val="bottom"/>
            <w:gridSpan w:val="2"/>
          </w:tcPr>
          <w:p>
            <w:pPr>
              <w:jc w:val="center"/>
              <w:ind w:left="250"/>
              <w:spacing w:after="0"/>
              <w:rPr>
                <w:sz w:val="20"/>
                <w:szCs w:val="20"/>
                <w:color w:val="auto"/>
              </w:rPr>
            </w:pPr>
            <w:r>
              <w:rPr>
                <w:rFonts w:ascii="Arial" w:cs="Arial" w:eastAsia="Arial" w:hAnsi="Arial"/>
                <w:sz w:val="18"/>
                <w:szCs w:val="18"/>
                <w:color w:val="0E32E1"/>
                <w:w w:val="99"/>
              </w:rPr>
              <w:t>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Arial" w:cs="Arial" w:eastAsia="Arial" w:hAnsi="Arial"/>
                <w:sz w:val="18"/>
                <w:szCs w:val="18"/>
                <w:color w:val="0000FF"/>
                <w:w w:val="90"/>
              </w:rPr>
              <w:t>Item 1B. Unresolved Staff Comments</w:t>
            </w:r>
          </w:p>
        </w:tc>
        <w:tc>
          <w:tcPr>
            <w:tcW w:w="7240" w:type="dxa"/>
            <w:vAlign w:val="bottom"/>
            <w:gridSpan w:val="12"/>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0E32E1"/>
                <w:w w:val="89"/>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gridSpan w:val="2"/>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0000FF"/>
                <w:w w:val="88"/>
              </w:rPr>
              <w:t>Item 2. Properties</w:t>
            </w:r>
          </w:p>
        </w:tc>
        <w:tc>
          <w:tcPr>
            <w:tcW w:w="8920" w:type="dxa"/>
            <w:vAlign w:val="bottom"/>
            <w:gridSpan w:val="18"/>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0E32E1"/>
                <w:w w:val="89"/>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6"/>
          </w:tcPr>
          <w:p>
            <w:pPr>
              <w:spacing w:after="0"/>
              <w:rPr>
                <w:sz w:val="20"/>
                <w:szCs w:val="20"/>
                <w:color w:val="auto"/>
              </w:rPr>
            </w:pPr>
            <w:r>
              <w:rPr>
                <w:rFonts w:ascii="Arial" w:cs="Arial" w:eastAsia="Arial" w:hAnsi="Arial"/>
                <w:sz w:val="18"/>
                <w:szCs w:val="18"/>
                <w:color w:val="0000FF"/>
                <w:w w:val="86"/>
              </w:rPr>
              <w:t>Item 3. Legal Proceedings</w:t>
            </w:r>
          </w:p>
        </w:tc>
        <w:tc>
          <w:tcPr>
            <w:tcW w:w="8380" w:type="dxa"/>
            <w:vAlign w:val="bottom"/>
            <w:gridSpan w:val="17"/>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0E32E1"/>
                <w:w w:val="89"/>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8"/>
          </w:tcPr>
          <w:p>
            <w:pPr>
              <w:spacing w:after="0"/>
              <w:rPr>
                <w:sz w:val="20"/>
                <w:szCs w:val="20"/>
                <w:color w:val="auto"/>
              </w:rPr>
            </w:pPr>
            <w:r>
              <w:rPr>
                <w:rFonts w:ascii="Arial" w:cs="Arial" w:eastAsia="Arial" w:hAnsi="Arial"/>
                <w:sz w:val="18"/>
                <w:szCs w:val="18"/>
                <w:color w:val="0000FF"/>
                <w:w w:val="91"/>
              </w:rPr>
              <w:t>Item 4. Mine Safety Disclosures</w:t>
            </w:r>
          </w:p>
        </w:tc>
        <w:tc>
          <w:tcPr>
            <w:tcW w:w="7880" w:type="dxa"/>
            <w:vAlign w:val="bottom"/>
            <w:gridSpan w:val="15"/>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0E32E1"/>
                <w:w w:val="89"/>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480" w:type="dxa"/>
            <w:vAlign w:val="bottom"/>
            <w:gridSpan w:val="3"/>
          </w:tcPr>
          <w:p>
            <w:pPr>
              <w:spacing w:after="0"/>
              <w:rPr>
                <w:sz w:val="20"/>
                <w:szCs w:val="20"/>
                <w:color w:val="auto"/>
              </w:rPr>
            </w:pPr>
            <w:r>
              <w:rPr>
                <w:rFonts w:ascii="Arial" w:cs="Arial" w:eastAsia="Arial" w:hAnsi="Arial"/>
                <w:sz w:val="18"/>
                <w:szCs w:val="18"/>
                <w:color w:val="0000FF"/>
                <w:w w:val="91"/>
              </w:rPr>
              <w:t>Part II</w:t>
            </w:r>
          </w:p>
        </w:tc>
        <w:tc>
          <w:tcPr>
            <w:tcW w:w="9940" w:type="dxa"/>
            <w:vAlign w:val="bottom"/>
            <w:gridSpan w:val="21"/>
          </w:tcPr>
          <w:p>
            <w:pPr>
              <w:spacing w:after="0"/>
              <w:rPr>
                <w:sz w:val="24"/>
                <w:szCs w:val="24"/>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0E32E1"/>
                <w:w w:val="89"/>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20" w:type="dxa"/>
            <w:vAlign w:val="bottom"/>
            <w:gridSpan w:val="22"/>
          </w:tcPr>
          <w:p>
            <w:pPr>
              <w:spacing w:after="0"/>
              <w:rPr>
                <w:sz w:val="20"/>
                <w:szCs w:val="20"/>
                <w:color w:val="auto"/>
              </w:rPr>
            </w:pPr>
            <w:r>
              <w:rPr>
                <w:rFonts w:ascii="Arial" w:cs="Arial" w:eastAsia="Arial" w:hAnsi="Arial"/>
                <w:sz w:val="18"/>
                <w:szCs w:val="18"/>
                <w:color w:val="0000FF"/>
                <w:w w:val="90"/>
              </w:rPr>
              <w:t>Item 5. Market for Registrant's Common Equity, Related Stockholder Matters and Issuer Purchases of Equity Securities</w:t>
            </w:r>
          </w:p>
        </w:tc>
        <w:tc>
          <w:tcPr>
            <w:tcW w:w="160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0E32E1"/>
                <w:w w:val="89"/>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20" w:type="dxa"/>
            <w:vAlign w:val="bottom"/>
            <w:gridSpan w:val="22"/>
          </w:tcPr>
          <w:p>
            <w:pPr>
              <w:spacing w:after="0"/>
              <w:rPr>
                <w:sz w:val="20"/>
                <w:szCs w:val="20"/>
                <w:color w:val="auto"/>
              </w:rPr>
            </w:pPr>
            <w:r>
              <w:rPr>
                <w:rFonts w:ascii="Arial" w:cs="Arial" w:eastAsia="Arial" w:hAnsi="Arial"/>
                <w:sz w:val="18"/>
                <w:szCs w:val="18"/>
                <w:color w:val="0000FF"/>
              </w:rPr>
              <w:t>Item 6. [Reserved</w:t>
            </w:r>
            <w:r>
              <w:rPr>
                <w:rFonts w:ascii="Arial" w:cs="Arial" w:eastAsia="Arial" w:hAnsi="Arial"/>
                <w:sz w:val="18"/>
                <w:szCs w:val="18"/>
                <w:color w:val="000000"/>
              </w:rPr>
              <w:t>]</w:t>
            </w:r>
          </w:p>
        </w:tc>
        <w:tc>
          <w:tcPr>
            <w:tcW w:w="160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0E32E1"/>
                <w:w w:val="89"/>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20" w:type="dxa"/>
            <w:vAlign w:val="bottom"/>
            <w:gridSpan w:val="23"/>
          </w:tcPr>
          <w:p>
            <w:pPr>
              <w:spacing w:after="0"/>
              <w:rPr>
                <w:sz w:val="20"/>
                <w:szCs w:val="20"/>
                <w:color w:val="auto"/>
              </w:rPr>
            </w:pPr>
            <w:r>
              <w:rPr>
                <w:rFonts w:ascii="Arial" w:cs="Arial" w:eastAsia="Arial" w:hAnsi="Arial"/>
                <w:sz w:val="18"/>
                <w:szCs w:val="18"/>
                <w:color w:val="0000FF"/>
              </w:rPr>
              <w:t>Item 7. Management's Discussion and Analysis of Financial Condition and Results of Operations</w:t>
            </w:r>
          </w:p>
        </w:tc>
        <w:tc>
          <w:tcPr>
            <w:tcW w:w="780" w:type="dxa"/>
            <w:vAlign w:val="bottom"/>
            <w:gridSpan w:val="3"/>
          </w:tcPr>
          <w:p>
            <w:pPr>
              <w:jc w:val="center"/>
              <w:spacing w:after="0"/>
              <w:rPr>
                <w:sz w:val="20"/>
                <w:szCs w:val="20"/>
                <w:color w:val="auto"/>
              </w:rPr>
            </w:pPr>
            <w:r>
              <w:rPr>
                <w:rFonts w:ascii="Arial" w:cs="Arial" w:eastAsia="Arial" w:hAnsi="Arial"/>
                <w:sz w:val="18"/>
                <w:szCs w:val="18"/>
                <w:color w:val="0E32E1"/>
                <w:w w:val="89"/>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gridSpan w:val="16"/>
          </w:tcPr>
          <w:p>
            <w:pPr>
              <w:spacing w:after="0"/>
              <w:rPr>
                <w:sz w:val="20"/>
                <w:szCs w:val="20"/>
                <w:color w:val="auto"/>
              </w:rPr>
            </w:pPr>
            <w:r>
              <w:rPr>
                <w:rFonts w:ascii="Arial" w:cs="Arial" w:eastAsia="Arial" w:hAnsi="Arial"/>
                <w:sz w:val="18"/>
                <w:szCs w:val="18"/>
                <w:color w:val="0000FF"/>
                <w:w w:val="92"/>
              </w:rPr>
              <w:t>Item 7A. Quantitative and Qualitative Disclosures About Market Risk</w:t>
            </w:r>
          </w:p>
        </w:tc>
        <w:tc>
          <w:tcPr>
            <w:tcW w:w="1940" w:type="dxa"/>
            <w:vAlign w:val="bottom"/>
            <w:gridSpan w:val="3"/>
          </w:tcPr>
          <w:p>
            <w:pPr>
              <w:spacing w:after="0"/>
              <w:rPr>
                <w:sz w:val="18"/>
                <w:szCs w:val="18"/>
                <w:color w:val="auto"/>
              </w:rPr>
            </w:pPr>
          </w:p>
        </w:tc>
        <w:tc>
          <w:tcPr>
            <w:tcW w:w="3220" w:type="dxa"/>
            <w:vAlign w:val="bottom"/>
            <w:gridSpan w:val="4"/>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0E32E1"/>
                <w:w w:val="89"/>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14"/>
          </w:tcPr>
          <w:p>
            <w:pPr>
              <w:spacing w:after="0"/>
              <w:rPr>
                <w:sz w:val="20"/>
                <w:szCs w:val="20"/>
                <w:color w:val="auto"/>
              </w:rPr>
            </w:pPr>
            <w:r>
              <w:rPr>
                <w:rFonts w:ascii="Arial" w:cs="Arial" w:eastAsia="Arial" w:hAnsi="Arial"/>
                <w:sz w:val="18"/>
                <w:szCs w:val="18"/>
                <w:color w:val="0000FF"/>
                <w:w w:val="89"/>
              </w:rPr>
              <w:t>Item 8. Financial Statements and Supplementary Data</w:t>
            </w:r>
          </w:p>
        </w:tc>
        <w:tc>
          <w:tcPr>
            <w:tcW w:w="1160" w:type="dxa"/>
            <w:vAlign w:val="bottom"/>
            <w:gridSpan w:val="2"/>
          </w:tcPr>
          <w:p>
            <w:pPr>
              <w:spacing w:after="0"/>
              <w:rPr>
                <w:sz w:val="18"/>
                <w:szCs w:val="18"/>
                <w:color w:val="auto"/>
              </w:rPr>
            </w:pPr>
          </w:p>
        </w:tc>
        <w:tc>
          <w:tcPr>
            <w:tcW w:w="5160" w:type="dxa"/>
            <w:vAlign w:val="bottom"/>
            <w:gridSpan w:val="7"/>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0000FF"/>
                <w:w w:val="89"/>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80" w:type="dxa"/>
            <w:vAlign w:val="bottom"/>
            <w:gridSpan w:val="20"/>
          </w:tcPr>
          <w:p>
            <w:pPr>
              <w:spacing w:after="0"/>
              <w:rPr>
                <w:sz w:val="20"/>
                <w:szCs w:val="20"/>
                <w:color w:val="auto"/>
              </w:rPr>
            </w:pPr>
            <w:r>
              <w:rPr>
                <w:rFonts w:ascii="Arial" w:cs="Arial" w:eastAsia="Arial" w:hAnsi="Arial"/>
                <w:sz w:val="18"/>
                <w:szCs w:val="18"/>
                <w:color w:val="0000FF"/>
                <w:w w:val="90"/>
              </w:rPr>
              <w:t>Item 9. Changes in and Disagreements With Accountants on Accounting and Financial Disclosure</w:t>
            </w:r>
          </w:p>
        </w:tc>
        <w:tc>
          <w:tcPr>
            <w:tcW w:w="3140" w:type="dxa"/>
            <w:vAlign w:val="bottom"/>
            <w:gridSpan w:val="3"/>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0E32E1"/>
                <w:w w:val="89"/>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0" w:type="dxa"/>
            <w:vAlign w:val="bottom"/>
            <w:gridSpan w:val="18"/>
          </w:tcPr>
          <w:p>
            <w:pPr>
              <w:spacing w:after="0"/>
              <w:rPr>
                <w:sz w:val="20"/>
                <w:szCs w:val="20"/>
                <w:color w:val="auto"/>
              </w:rPr>
            </w:pPr>
            <w:r>
              <w:rPr>
                <w:rFonts w:ascii="Arial" w:cs="Arial" w:eastAsia="Arial" w:hAnsi="Arial"/>
                <w:sz w:val="18"/>
                <w:szCs w:val="18"/>
                <w:color w:val="0000FF"/>
              </w:rPr>
              <w:t>Item 9A. Controls and Procedures</w:t>
            </w:r>
          </w:p>
        </w:tc>
        <w:tc>
          <w:tcPr>
            <w:tcW w:w="3140" w:type="dxa"/>
            <w:vAlign w:val="bottom"/>
            <w:gridSpan w:val="3"/>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0E32E1"/>
                <w:w w:val="89"/>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8"/>
          </w:tcPr>
          <w:p>
            <w:pPr>
              <w:spacing w:after="0"/>
              <w:rPr>
                <w:sz w:val="20"/>
                <w:szCs w:val="20"/>
                <w:color w:val="auto"/>
              </w:rPr>
            </w:pPr>
            <w:r>
              <w:rPr>
                <w:rFonts w:ascii="Arial" w:cs="Arial" w:eastAsia="Arial" w:hAnsi="Arial"/>
                <w:sz w:val="18"/>
                <w:szCs w:val="18"/>
                <w:color w:val="0000FF"/>
              </w:rPr>
              <w:t>Item 9B. Other Information</w:t>
            </w:r>
          </w:p>
        </w:tc>
        <w:tc>
          <w:tcPr>
            <w:tcW w:w="7520" w:type="dxa"/>
            <w:vAlign w:val="bottom"/>
            <w:gridSpan w:val="13"/>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0E32E1"/>
                <w:w w:val="89"/>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40" w:type="dxa"/>
            <w:vAlign w:val="bottom"/>
            <w:gridSpan w:val="21"/>
          </w:tcPr>
          <w:p>
            <w:pPr>
              <w:spacing w:after="0"/>
              <w:rPr>
                <w:sz w:val="20"/>
                <w:szCs w:val="20"/>
                <w:color w:val="auto"/>
              </w:rPr>
            </w:pPr>
            <w:r>
              <w:rPr>
                <w:rFonts w:ascii="Arial" w:cs="Arial" w:eastAsia="Arial" w:hAnsi="Arial"/>
                <w:sz w:val="18"/>
                <w:szCs w:val="18"/>
                <w:color w:val="0000FF"/>
              </w:rPr>
              <w:t>Item 9C. Disclosure Regarding Foreign Jurisdictions that Prevent Inspections</w:t>
            </w:r>
          </w:p>
        </w:tc>
        <w:tc>
          <w:tcPr>
            <w:tcW w:w="780" w:type="dxa"/>
            <w:vAlign w:val="bottom"/>
            <w:gridSpan w:val="3"/>
          </w:tcPr>
          <w:p>
            <w:pPr>
              <w:jc w:val="center"/>
              <w:spacing w:after="0"/>
              <w:rPr>
                <w:sz w:val="20"/>
                <w:szCs w:val="20"/>
                <w:color w:val="auto"/>
              </w:rPr>
            </w:pPr>
            <w:r>
              <w:rPr>
                <w:rFonts w:ascii="Arial" w:cs="Arial" w:eastAsia="Arial" w:hAnsi="Arial"/>
                <w:sz w:val="18"/>
                <w:szCs w:val="18"/>
                <w:color w:val="0E32E1"/>
                <w:w w:val="89"/>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420" w:type="dxa"/>
            <w:vAlign w:val="bottom"/>
            <w:gridSpan w:val="24"/>
          </w:tcPr>
          <w:p>
            <w:pPr>
              <w:spacing w:after="0"/>
              <w:rPr>
                <w:sz w:val="20"/>
                <w:szCs w:val="20"/>
                <w:color w:val="auto"/>
              </w:rPr>
            </w:pPr>
            <w:r>
              <w:rPr>
                <w:rFonts w:ascii="Arial" w:cs="Arial" w:eastAsia="Arial" w:hAnsi="Arial"/>
                <w:sz w:val="18"/>
                <w:szCs w:val="18"/>
                <w:color w:val="0000FF"/>
              </w:rPr>
              <w:t>Part III</w:t>
            </w:r>
          </w:p>
        </w:tc>
        <w:tc>
          <w:tcPr>
            <w:tcW w:w="780" w:type="dxa"/>
            <w:vAlign w:val="bottom"/>
            <w:gridSpan w:val="3"/>
          </w:tcPr>
          <w:p>
            <w:pPr>
              <w:jc w:val="center"/>
              <w:spacing w:after="0"/>
              <w:rPr>
                <w:sz w:val="20"/>
                <w:szCs w:val="20"/>
                <w:color w:val="auto"/>
              </w:rPr>
            </w:pPr>
            <w:r>
              <w:rPr>
                <w:rFonts w:ascii="Arial" w:cs="Arial" w:eastAsia="Arial" w:hAnsi="Arial"/>
                <w:sz w:val="18"/>
                <w:szCs w:val="18"/>
                <w:color w:val="0E32E1"/>
                <w:w w:val="89"/>
              </w:rPr>
              <w:t>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20" w:type="dxa"/>
            <w:vAlign w:val="bottom"/>
            <w:gridSpan w:val="23"/>
          </w:tcPr>
          <w:p>
            <w:pPr>
              <w:spacing w:after="0"/>
              <w:rPr>
                <w:sz w:val="20"/>
                <w:szCs w:val="20"/>
                <w:color w:val="auto"/>
              </w:rPr>
            </w:pPr>
            <w:r>
              <w:rPr>
                <w:rFonts w:ascii="Arial" w:cs="Arial" w:eastAsia="Arial" w:hAnsi="Arial"/>
                <w:sz w:val="18"/>
                <w:szCs w:val="18"/>
                <w:color w:val="0000FF"/>
              </w:rPr>
              <w:t>Item 10. Directors, Executive Officers and Corporate Governance</w:t>
            </w:r>
          </w:p>
        </w:tc>
        <w:tc>
          <w:tcPr>
            <w:tcW w:w="780" w:type="dxa"/>
            <w:vAlign w:val="bottom"/>
            <w:gridSpan w:val="3"/>
          </w:tcPr>
          <w:p>
            <w:pPr>
              <w:jc w:val="center"/>
              <w:spacing w:after="0"/>
              <w:rPr>
                <w:sz w:val="20"/>
                <w:szCs w:val="20"/>
                <w:color w:val="auto"/>
              </w:rPr>
            </w:pPr>
            <w:r>
              <w:rPr>
                <w:rFonts w:ascii="Arial" w:cs="Arial" w:eastAsia="Arial" w:hAnsi="Arial"/>
                <w:sz w:val="18"/>
                <w:szCs w:val="18"/>
                <w:color w:val="0E32E1"/>
                <w:w w:val="89"/>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9"/>
          </w:tcPr>
          <w:p>
            <w:pPr>
              <w:spacing w:after="0"/>
              <w:rPr>
                <w:sz w:val="20"/>
                <w:szCs w:val="20"/>
                <w:color w:val="auto"/>
              </w:rPr>
            </w:pPr>
            <w:r>
              <w:rPr>
                <w:rFonts w:ascii="Arial" w:cs="Arial" w:eastAsia="Arial" w:hAnsi="Arial"/>
                <w:sz w:val="18"/>
                <w:szCs w:val="18"/>
                <w:color w:val="0000FF"/>
                <w:w w:val="90"/>
              </w:rPr>
              <w:t>Item 11. Executive Compensation</w:t>
            </w:r>
          </w:p>
        </w:tc>
        <w:tc>
          <w:tcPr>
            <w:tcW w:w="2280" w:type="dxa"/>
            <w:vAlign w:val="bottom"/>
            <w:gridSpan w:val="6"/>
          </w:tcPr>
          <w:p>
            <w:pPr>
              <w:spacing w:after="0"/>
              <w:rPr>
                <w:sz w:val="18"/>
                <w:szCs w:val="18"/>
                <w:color w:val="auto"/>
              </w:rPr>
            </w:pPr>
          </w:p>
        </w:tc>
        <w:tc>
          <w:tcPr>
            <w:tcW w:w="5480" w:type="dxa"/>
            <w:vAlign w:val="bottom"/>
            <w:gridSpan w:val="8"/>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0E32E1"/>
                <w:w w:val="89"/>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20" w:type="dxa"/>
            <w:vAlign w:val="bottom"/>
            <w:gridSpan w:val="23"/>
          </w:tcPr>
          <w:p>
            <w:pPr>
              <w:spacing w:after="0"/>
              <w:rPr>
                <w:sz w:val="20"/>
                <w:szCs w:val="20"/>
                <w:color w:val="auto"/>
              </w:rPr>
            </w:pPr>
            <w:r>
              <w:rPr>
                <w:rFonts w:ascii="Arial" w:cs="Arial" w:eastAsia="Arial" w:hAnsi="Arial"/>
                <w:sz w:val="18"/>
                <w:szCs w:val="18"/>
                <w:color w:val="0000FF"/>
              </w:rPr>
              <w:t>Item 12. Security Ownership of Certain Beneficial Owners and Management and Related Stockholder Matters</w:t>
            </w:r>
          </w:p>
        </w:tc>
        <w:tc>
          <w:tcPr>
            <w:tcW w:w="780" w:type="dxa"/>
            <w:vAlign w:val="bottom"/>
            <w:gridSpan w:val="3"/>
          </w:tcPr>
          <w:p>
            <w:pPr>
              <w:jc w:val="center"/>
              <w:spacing w:after="0"/>
              <w:rPr>
                <w:sz w:val="20"/>
                <w:szCs w:val="20"/>
                <w:color w:val="auto"/>
              </w:rPr>
            </w:pPr>
            <w:r>
              <w:rPr>
                <w:rFonts w:ascii="Arial" w:cs="Arial" w:eastAsia="Arial" w:hAnsi="Arial"/>
                <w:sz w:val="18"/>
                <w:szCs w:val="18"/>
                <w:color w:val="0E32E1"/>
                <w:w w:val="89"/>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40" w:type="dxa"/>
            <w:vAlign w:val="bottom"/>
            <w:gridSpan w:val="21"/>
          </w:tcPr>
          <w:p>
            <w:pPr>
              <w:spacing w:after="0"/>
              <w:rPr>
                <w:sz w:val="20"/>
                <w:szCs w:val="20"/>
                <w:color w:val="auto"/>
              </w:rPr>
            </w:pPr>
            <w:r>
              <w:rPr>
                <w:rFonts w:ascii="Arial" w:cs="Arial" w:eastAsia="Arial" w:hAnsi="Arial"/>
                <w:sz w:val="18"/>
                <w:szCs w:val="18"/>
                <w:color w:val="0000FF"/>
              </w:rPr>
              <w:t>Item 13. Certain Relationships and Related Transactions, and Director Independence</w:t>
            </w:r>
          </w:p>
        </w:tc>
        <w:tc>
          <w:tcPr>
            <w:tcW w:w="2280" w:type="dxa"/>
            <w:vAlign w:val="bottom"/>
            <w:gridSpan w:val="2"/>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0E32E1"/>
                <w:w w:val="89"/>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1320" w:type="dxa"/>
            <w:vAlign w:val="bottom"/>
            <w:tcBorders>
              <w:left w:val="single" w:sz="8" w:color="0000FF"/>
            </w:tcBorders>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gridSpan w:val="12"/>
          </w:tcPr>
          <w:p>
            <w:pPr>
              <w:spacing w:after="0"/>
              <w:rPr>
                <w:sz w:val="20"/>
                <w:szCs w:val="20"/>
                <w:color w:val="auto"/>
              </w:rPr>
            </w:pPr>
            <w:r>
              <w:rPr>
                <w:rFonts w:ascii="Arial" w:cs="Arial" w:eastAsia="Arial" w:hAnsi="Arial"/>
                <w:sz w:val="18"/>
                <w:szCs w:val="18"/>
                <w:color w:val="0000FF"/>
                <w:w w:val="90"/>
              </w:rPr>
              <w:t>Item 14. Principal Accountant Fees and Services</w:t>
            </w:r>
          </w:p>
        </w:tc>
        <w:tc>
          <w:tcPr>
            <w:tcW w:w="2580" w:type="dxa"/>
            <w:vAlign w:val="bottom"/>
            <w:gridSpan w:val="6"/>
          </w:tcPr>
          <w:p>
            <w:pPr>
              <w:spacing w:after="0"/>
              <w:rPr>
                <w:sz w:val="18"/>
                <w:szCs w:val="18"/>
                <w:color w:val="auto"/>
              </w:rPr>
            </w:pPr>
          </w:p>
        </w:tc>
        <w:tc>
          <w:tcPr>
            <w:tcW w:w="4120" w:type="dxa"/>
            <w:vAlign w:val="bottom"/>
            <w:gridSpan w:val="5"/>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0E32E1"/>
                <w:w w:val="89"/>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1320" w:type="dxa"/>
            <w:vAlign w:val="bottom"/>
            <w:tcBorders>
              <w:left w:val="single" w:sz="8" w:color="0000FF"/>
            </w:tcBorders>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0" w:type="dxa"/>
            <w:vAlign w:val="bottom"/>
            <w:gridSpan w:val="10"/>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480" w:type="dxa"/>
            <w:vAlign w:val="bottom"/>
            <w:gridSpan w:val="3"/>
          </w:tcPr>
          <w:p>
            <w:pPr>
              <w:spacing w:after="0"/>
              <w:rPr>
                <w:sz w:val="20"/>
                <w:szCs w:val="20"/>
                <w:color w:val="auto"/>
              </w:rPr>
            </w:pPr>
            <w:r>
              <w:rPr>
                <w:rFonts w:ascii="Arial" w:cs="Arial" w:eastAsia="Arial" w:hAnsi="Arial"/>
                <w:sz w:val="18"/>
                <w:szCs w:val="18"/>
                <w:color w:val="0000FF"/>
                <w:w w:val="79"/>
              </w:rPr>
              <w:t>Part IV</w:t>
            </w:r>
          </w:p>
        </w:tc>
        <w:tc>
          <w:tcPr>
            <w:tcW w:w="9940" w:type="dxa"/>
            <w:vAlign w:val="bottom"/>
            <w:gridSpan w:val="21"/>
          </w:tcPr>
          <w:p>
            <w:pPr>
              <w:spacing w:after="0"/>
              <w:rPr>
                <w:sz w:val="24"/>
                <w:szCs w:val="24"/>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0E32E1"/>
                <w:w w:val="89"/>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6400" w:type="dxa"/>
            <w:vAlign w:val="bottom"/>
            <w:gridSpan w:val="10"/>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20" w:type="dxa"/>
            <w:vAlign w:val="bottom"/>
            <w:gridSpan w:val="13"/>
          </w:tcPr>
          <w:p>
            <w:pPr>
              <w:spacing w:after="0"/>
              <w:rPr>
                <w:sz w:val="20"/>
                <w:szCs w:val="20"/>
                <w:color w:val="auto"/>
              </w:rPr>
            </w:pPr>
            <w:r>
              <w:rPr>
                <w:rFonts w:ascii="Arial" w:cs="Arial" w:eastAsia="Arial" w:hAnsi="Arial"/>
                <w:sz w:val="18"/>
                <w:szCs w:val="18"/>
                <w:color w:val="0000FF"/>
                <w:w w:val="90"/>
              </w:rPr>
              <w:t>Item 15. Exhibits and Financial Statement Schedules</w:t>
            </w:r>
          </w:p>
        </w:tc>
        <w:tc>
          <w:tcPr>
            <w:tcW w:w="6400" w:type="dxa"/>
            <w:vAlign w:val="bottom"/>
            <w:gridSpan w:val="10"/>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0E32E1"/>
                <w:w w:val="89"/>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1620" w:type="dxa"/>
            <w:vAlign w:val="bottom"/>
            <w:tcBorders>
              <w:left w:val="single" w:sz="8" w:color="0000FF"/>
            </w:tcBorders>
            <w:gridSpan w:val="6"/>
            <w:shd w:val="clear" w:color="auto" w:fill="0000FF"/>
          </w:tcPr>
          <w:p>
            <w:pPr>
              <w:spacing w:after="0" w:line="20" w:lineRule="exact"/>
              <w:rPr>
                <w:sz w:val="1"/>
                <w:szCs w:val="1"/>
                <w:color w:val="auto"/>
              </w:rPr>
            </w:pPr>
          </w:p>
        </w:tc>
        <w:tc>
          <w:tcPr>
            <w:tcW w:w="6400" w:type="dxa"/>
            <w:vAlign w:val="bottom"/>
            <w:gridSpan w:val="10"/>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20" w:type="dxa"/>
            <w:vAlign w:val="bottom"/>
            <w:gridSpan w:val="13"/>
          </w:tcPr>
          <w:p>
            <w:pPr>
              <w:spacing w:after="0"/>
              <w:rPr>
                <w:sz w:val="20"/>
                <w:szCs w:val="20"/>
                <w:color w:val="auto"/>
              </w:rPr>
            </w:pPr>
            <w:r>
              <w:rPr>
                <w:rFonts w:ascii="Arial" w:cs="Arial" w:eastAsia="Arial" w:hAnsi="Arial"/>
                <w:sz w:val="18"/>
                <w:szCs w:val="18"/>
                <w:color w:val="0000FF"/>
              </w:rPr>
              <w:t>Item 16. Form 10-K Summary</w:t>
            </w:r>
          </w:p>
        </w:tc>
        <w:tc>
          <w:tcPr>
            <w:tcW w:w="6400" w:type="dxa"/>
            <w:vAlign w:val="bottom"/>
            <w:gridSpan w:val="10"/>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0E32E1"/>
                <w:w w:val="89"/>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8020" w:type="dxa"/>
            <w:vAlign w:val="bottom"/>
            <w:gridSpan w:val="16"/>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420" w:type="dxa"/>
            <w:vAlign w:val="bottom"/>
            <w:gridSpan w:val="24"/>
          </w:tcPr>
          <w:p>
            <w:pPr>
              <w:spacing w:after="0"/>
              <w:rPr>
                <w:sz w:val="20"/>
                <w:szCs w:val="20"/>
                <w:color w:val="auto"/>
              </w:rPr>
            </w:pPr>
            <w:r>
              <w:rPr>
                <w:rFonts w:ascii="Arial" w:cs="Arial" w:eastAsia="Arial" w:hAnsi="Arial"/>
                <w:sz w:val="18"/>
                <w:szCs w:val="18"/>
                <w:color w:val="0000FF"/>
              </w:rPr>
              <w:t>Signatures</w:t>
            </w:r>
          </w:p>
        </w:tc>
        <w:tc>
          <w:tcPr>
            <w:tcW w:w="780" w:type="dxa"/>
            <w:vAlign w:val="bottom"/>
            <w:gridSpan w:val="3"/>
          </w:tcPr>
          <w:p>
            <w:pPr>
              <w:jc w:val="center"/>
              <w:spacing w:after="0"/>
              <w:rPr>
                <w:sz w:val="20"/>
                <w:szCs w:val="20"/>
                <w:color w:val="auto"/>
              </w:rPr>
            </w:pPr>
            <w:r>
              <w:rPr>
                <w:rFonts w:ascii="Arial" w:cs="Arial" w:eastAsia="Arial" w:hAnsi="Arial"/>
                <w:sz w:val="18"/>
                <w:szCs w:val="18"/>
                <w:color w:val="0E32E1"/>
                <w:w w:val="89"/>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top w:val="single" w:sz="8" w:color="0E32E1"/>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3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Annual Report on Form 10-K (“Annual Report”) contains forward-looking statements within the meaning of Section 27A of the Securities Act of 1933, as amended (the “Securities Act”), and Section 21E of the Securities Exchange Act of 1934, as amended (the “Exchange Act”), that involve substantial risks and uncertainties. Forward-looking statements generally relate to future events or our future financial or operating performance. In some cases, you can identify forward-looking statements because they contain words such as “may,” “will,” “appears,”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include, but are not limited to, statements about:</w:t>
      </w:r>
    </w:p>
    <w:p>
      <w:pPr>
        <w:spacing w:after="0" w:line="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strategy, future operations, financial position, estimated revenues and losses, projected costs, prospects and plans;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plans and opportunities;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relative strength of the overall economy, including its effect on unemployment, consumer spending and consumer demand for automotive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growth in loan volume from our top ten automotive lenders relative to that of other automotive lenders and associated concentration of risks;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of services in absolute dollars and as a percentage of revenue;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and administrative expenses, selling and marketing expenses and research and development expenses in absolute dollars and as a percentage of revenue;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projected operating cash flows and available cash on hand on our business operations in the future;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turnover in automotive lenders, as well as varying activation rates and volatility in usage of our Lenders Protection Platform by automotive lenders;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outcome of any known and unknown litigation and regulatory proceedings, including such legal proceedings that may be instituted in connection with the Business Combination (as defined in </w:t>
      </w:r>
      <w:r>
        <w:rPr>
          <w:rFonts w:ascii="Arial" w:cs="Arial" w:eastAsia="Arial" w:hAnsi="Arial"/>
          <w:sz w:val="18"/>
          <w:szCs w:val="18"/>
          <w:u w:val="single" w:color="auto"/>
          <w:color w:val="0000FF"/>
        </w:rPr>
        <w:t>Item 1—Business</w:t>
      </w:r>
      <w:r>
        <w:rPr>
          <w:rFonts w:ascii="Arial" w:cs="Arial" w:eastAsia="Arial" w:hAnsi="Arial"/>
          <w:sz w:val="18"/>
          <w:szCs w:val="18"/>
          <w:color w:val="auto"/>
        </w:rPr>
        <w:t>) and transactions contemplated thereby;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the Nasdaq Stock Market LLC (“Nasdaq”);</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competition and our ability to grow and manage growth profitably;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expenses associated with our growth as a result of demands on our operational, marketing, compliance and accounting infrastructure;</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regulatory agreements between us and state agencies regarding issues including automotive lender conduct and oversight and loan pricing;</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applicable taxes, inflation, supply chain disruptions, including global hostilities and responses thereto, interest rates and the regulatory environment;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the ongoing coronavirus (“COVID-19”) pandemic on our business.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All forward-looking statements are based on information and estimates available to us at the time of this Annual Report and are not guarantees of future financial performance. We undertake no obligation to update any forward-looking statements made in this Annual Report to reflect events or circumstances after the date of this Annual Report or to reflect new information or the occurrence of unanticipated events, except as required by law.</w:t>
      </w:r>
    </w:p>
    <w:p>
      <w:pPr>
        <w:spacing w:after="0" w:line="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outcome of the events described in these forward-looking statements is subject to known and unknown risks, uncertainties, and other factors described in </w:t>
      </w:r>
      <w:r>
        <w:rPr>
          <w:rFonts w:ascii="Arial" w:cs="Arial" w:eastAsia="Arial" w:hAnsi="Arial"/>
          <w:sz w:val="17"/>
          <w:szCs w:val="17"/>
          <w:u w:val="single" w:color="auto"/>
          <w:color w:val="0000FF"/>
        </w:rPr>
        <w:t>Item 1A—Risk Factors</w:t>
      </w:r>
      <w:r>
        <w:rPr>
          <w:rFonts w:ascii="Arial" w:cs="Arial" w:eastAsia="Arial" w:hAnsi="Arial"/>
          <w:sz w:val="17"/>
          <w:szCs w:val="17"/>
          <w:color w:val="auto"/>
        </w:rPr>
        <w:t xml:space="preserve"> and elsewhere in this Annual Report. We caution you that the foregoing list may not contain all of the forward-looking statements made in this Annual Report. You should not rely upon forward-looking statements as predictions of future events.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18"/>
          <w:szCs w:val="18"/>
          <w:color w:val="auto"/>
        </w:rPr>
        <w:t>You should not place undue reliance on these forward-looking statements in deciding whether to invest in our securities. As a result of a number of known and unknown risks and uncertainties, our actual results or performance may be materially different from those expressed or implied by these forward-looking statements.</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Should one or more of these risks or uncertainties materialize, or should any of the underlying assumptions prove incorrect, actual results may vary in material respects from those expressed or implied by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 w:name="page6"/>
    <w:bookmarkEnd w:id="5"/>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Open Lending Corporation, headquartered in Austin, Texas, provides loan analytics, risk-based loan pricing, risk modeling and automated decision technology for automotive lenders throughout the United States (“U.S.”), which enables each lending institution to book near-prime and non-prime automotive loans, coupled with real-time underwriting of loan default insurance, out of their existing business flow. We also operate as a third-party administrator that adjudicates insurance claims and premium adjustments on automotive loans.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Nebula Acquisition Corporation (“Nebula”) was originally incorporated in Delaware on October 2, 2017 as a special purpose acquisition company for the purpose of effecting a merger, capital stock exchange, asset acquisition, stock purchase, reorganization or similar business combination with one or more businesses. On June 10, 2020 (the “Closing Date”), Nebula entered into a business combination pursuant to that certain Business Combination Agreement by and among Nebula, Open Lending, LLC (“Predecessor”), BRP Hold 11, Inc. (the “Blocker”), the Blocker’s sole stockholder, Nebula Parent Corp., NBLA Merger Sub LLC, NBLA Merger Sub Corp., and Shareholder Representative Services LLC, as the security holder representative (the “Business Combination”).</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Unless the context otherwise requires, “we,” “us,” “our,” “Open Lending,” and the “Company” refers to Open Lending Corporation, the combined company and its subsidiaries following the Business Combination. Refer to </w:t>
      </w:r>
      <w:r>
        <w:rPr>
          <w:rFonts w:ascii="Arial" w:cs="Arial" w:eastAsia="Arial" w:hAnsi="Arial"/>
          <w:sz w:val="18"/>
          <w:szCs w:val="18"/>
          <w:u w:val="single" w:color="auto"/>
          <w:color w:val="0000FF"/>
        </w:rPr>
        <w:t>Note 3—Business Combination</w:t>
      </w:r>
      <w:r>
        <w:rPr>
          <w:rFonts w:ascii="Arial" w:cs="Arial" w:eastAsia="Arial" w:hAnsi="Arial"/>
          <w:sz w:val="18"/>
          <w:szCs w:val="18"/>
          <w:color w:val="auto"/>
        </w:rPr>
        <w:t xml:space="preserve"> for further discussion on the Business Combination.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evaluated how the Company is organized and managed and have identified only one operating segment. All of our operations and assets are in the U.S., and all of our revenues are attributable to U.S. customers.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a leading provider of lending enablement and risk analytics to credit unions, regional banks, finance companies and the captive finance companies of automakers. Our customers, collectively referred to herein as automotive lenders, make automotive consumer loans to underserved near-prime and non-prime borrowers by harnessing our risk-based interest rate pricing models, powered by our proprietary data and real-time underwriting of automotive loan default insurance coverage from insurers. Since our inception in 2000, we have facilitated over $18.3 billion in automotive loans, accumulated more than 20 years of proprietary data and developed over two million unique risk profiles. We currently serve 438 active lenders.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 Protection Platform</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flagship product, Lenders Protection Platform (“LPP”), is a cloud-based automotive lending platform. LPP supports loans made to near-prime and non-prime borrowers and is designed to underwrite default insurance by linking automotive lenders to insurance companies. The platform uses risk-based pricing models that enable automotive lenders to assess the credit risk of a potential borrower using data driven analysis. Our proprietary risk models project loan performance including expected losses and prepayments in arriving at the optimal rate. With five second decisioning, LPP generates a risk-based, all-inclusive interest rate for a loan that is customized to each automotive lender, reflecting cost of capital, loan servicing and acquisition costs, expected recovery rates and target return on assets. LPP risk models use a proprietary score in assessing and pricing risk on automotive loan applications. This score combines credit bureau data and Fair Credit Reporting Act (“FCRA”) compliant alternative consumer data to more effectively assess risk and determine the appropriate insurance premium for any given loan application.</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LPP is powered by technology that delivers speed and scalability in providing interest rate decisioning to automotive lenders through electronic system integration. It supports the full transaction lifecycle, including credit application, underwriting, real-time insurance approval, settlement, servicing, invoicing of insurance premiums and fees and advanced data analytics of automotive lender’s portfolio under the program.</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key element of LPP is the unique database that drives risk decisioning using data accumulated for more than 20 years. When a loan is insured at origination, certain attributes of the transaction are stored in our database. Through the claims management process, we ultimately obtain loan life performance data on each insured loan. Having granular origination and performance data allows our data scientists and actuaries to evolve and refine risk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target the financing needs of near-prime and non-prime borrowers, or borrowers with a credit bureau score generally between 560 and 699, who are underserved in the automotive finance industry. Traditional automotive lenders focus on prime borrowers, where an efficient market has developed with interest rate competition that benefits borrowers. Borrowers who must utilize the near-prime and non-prime automotive lending market have fewer lenders focused on loans with longer terms or higher interest rates. As a result, many near-prime and non-prime borrowers turn to sub-prime lenders, resulting in higher interest rate loan offerings than such borrower’s credit profile often merits or warrants. We seek to make the near-prime and non-prime market more competitive, resulting in more attractive loan terms.</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operate a business-to-business model. Our customers are automotive lenders. LPP enables automotive lenders to expand their lending guidelines to offer loans to borrowers with lower credit scores, potentially leading to increased loan originations and higher loan advance rates. LPP integrates directly with automotive lenders’ existing loan origination systems, facilitating electronic delivery of all-inclusive loan rates in real-time to automotive lenders. LPP is designed to provide a real-time experience for automotive lenders that is intuitive and easy to use.</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exclusivity agreements with insurance carriers who provide default insurance to automotive lenders on individual automotive loans processed through LPP, which underwrites the risk on each loan application. The insurance carriers issue default insurance to our customers, thereby creating a direct contractual relationship between the insurer and the lender. We allocate loan applications to insurance carriers based on pre-determined percentages, which are embedded within LPP.</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insurance carriers contract with our wholly owned subsidiary, Insurance Administrative Services, LLC (“IAS”), to perform claims administration and in turn pay us administrative fees representing a portion of the insurance premiums paid by the automotive lenders. IAS provides continuity of customer service and allows for a seamless experience between LPP, insurance carriers and automotive lenders.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refer to loans facilitated through LPP as certified loans based on the date the loan is awarded to the consumer. We generate revenue of approximately 4% of the balance on each certified loan. Revenue is comprised of program fees paid by automotive lenders for the use of LPP to underwrite loans; fees paid by insurers for claims administration services; and profit-sharing with insurers that provide default insurance to automotive lenders. Approximately 73% of the expected revenue is collected in the first 12 months after loan origination, with the balance comprised of administration fees and underwriting profit share that are realized over the remaining life of the loan.</w:t>
      </w:r>
    </w:p>
    <w:p>
      <w:pPr>
        <w:spacing w:after="0" w:line="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LPP program fees vary as a percentage of the loan amount, averaging $488 per loan in 2022, and are recognized upon receipt of the loan by the consumer. The program fee is paid either in one single payment in the month following loan certification or in equal monthly payments over the 12 months following loan certification. Claims management administration fees are calculated as 3% of monthly insurance earned premium for as long as a loan remains outstanding. The administration fee is recognized monthly as earned and decreases over time as the loan amortizes. Profit share represents our participation in the underwriting profit generated through the use of LPP. We receive 72% of the aggregate monthly insurance underwriting profit on each insurer’s portfolio, calculated as the monthly premium earned by the carrier less the carrier’s expenses and incurred losses. The underwriting profit on each loan is earned upfront and received over its life, with the majority received in the first 12 months of the loan. In 2022, LPP generated, on average, $579 in profit share revenue per loan, which excludes the change in estimate associated with profit share reported on loans certified in prior periods. We refer to the prior periods as historic vintages.</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the automotive industry is still seeking solutions to address the near-prime and non-prime borrower market. The near-prime and non-prime automotive loan origination market is a large, underserved sector, estimated at $270 billion annually. We currently serve approximately 2% of this market, providing a significant growth opportunity. In addition, our market opportunity related to the refinancing of near-prime and non-prime automotive loans is estimated at $40 billion annually.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Ecosystem</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LPP enables the parties in our robust ecosystem to benefit from the ability to integrate with one another through our platform, which we believe improves the volume and quality of lending options made available to both lenders and borrowers in the automotive market.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 Lenders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customers are credit unions, regional banks, finance companies and the captive finance companies of automakers that use LPP. Our customers rely on us to assist in insuring against loan defaults by pairing them with highly rated insurance companies that mitigate the added risk associated with lending to near-prime and non-prime borrowers.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jc w:val="both"/>
        <w:spacing w:after="0" w:line="342" w:lineRule="auto"/>
        <w:rPr>
          <w:sz w:val="20"/>
          <w:szCs w:val="20"/>
          <w:color w:val="auto"/>
        </w:rPr>
      </w:pPr>
      <w:r>
        <w:rPr>
          <w:rFonts w:ascii="Arial" w:cs="Arial" w:eastAsia="Arial" w:hAnsi="Arial"/>
          <w:sz w:val="16"/>
          <w:szCs w:val="16"/>
          <w:color w:val="auto"/>
        </w:rPr>
        <w:t>We support new and used automotive loans originated through a number of channels, including direct loans where the customer interfaces directly with the lender, indirect loans through networks of auto dealers who work with our lenders, and in targeted refinance programs implemented by our lenders.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Carriers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2022, we partnered with four insurance carriers to provide auto loan default insurance policies for LPP certified loans. Our carrier partners are required to maintain not less than “A-” Financial Strength Rating by A.M. Best insurance rating company.</w:t>
      </w:r>
    </w:p>
    <w:p>
      <w:pPr>
        <w:spacing w:after="0" w:line="4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addition, on January 24, 2023, Continental Casualty Company (“CNA”), one of our insurance carriers, informed us of their intent not to renew their producer and claims service agreements with us when they expire on December 31, 2023. CNA will continue to provide auto loan default insurance policies for LPP certified loans until the terms of its producer and claims service agreements expire on December 31, 2023, unless mutual agreements with CNA are reached to transition new originations to our other insurance carriers prior to December 31, 2023. In addition, CNA will continue to service and provide claim funding for any of its existing default insurance policies for the remaining life of the loans associated with such policies. During the period until the expiration of these agreements, we expect to transition our customers who use CNA to our other insurance carriers.</w:t>
      </w:r>
    </w:p>
    <w:p>
      <w:pPr>
        <w:spacing w:after="0" w:line="5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See “Item 1A—</w:t>
      </w:r>
      <w:r>
        <w:rPr>
          <w:rFonts w:ascii="Arial" w:cs="Arial" w:eastAsia="Arial" w:hAnsi="Arial"/>
          <w:sz w:val="18"/>
          <w:szCs w:val="18"/>
          <w:i w:val="1"/>
          <w:iCs w:val="1"/>
          <w:color w:val="auto"/>
        </w:rPr>
        <w:t>Risk Factors—Risks Related to Our Business</w:t>
      </w:r>
      <w:r>
        <w:rPr>
          <w:rFonts w:ascii="Arial" w:cs="Arial" w:eastAsia="Arial" w:hAnsi="Arial"/>
          <w:sz w:val="18"/>
          <w:szCs w:val="18"/>
          <w:color w:val="auto"/>
        </w:rPr>
        <w:t>—</w:t>
      </w:r>
      <w:r>
        <w:rPr>
          <w:rFonts w:ascii="Arial" w:cs="Arial" w:eastAsia="Arial" w:hAnsi="Arial"/>
          <w:sz w:val="18"/>
          <w:szCs w:val="18"/>
          <w:i w:val="1"/>
          <w:iCs w:val="1"/>
          <w:color w:val="auto"/>
        </w:rPr>
        <w:t>If we lose one of more of our insurance carriers and are unable to replace their</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 it could have a material adverse effect on our business</w:t>
      </w:r>
      <w:r>
        <w:rPr>
          <w:rFonts w:ascii="Arial" w:cs="Arial" w:eastAsia="Arial" w:hAnsi="Arial"/>
          <w:sz w:val="18"/>
          <w:szCs w:val="18"/>
          <w:color w:val="auto"/>
        </w:rPr>
        <w: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address the financing needs of borrowers with a credit score generally between 560 and 699, also referred to as consumers. We seek to meet their specific needs by supporting lending opportunities through the use of LPP.</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Proposition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 Lenders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Increased loan originations. </w:t>
      </w:r>
      <w:r>
        <w:rPr>
          <w:rFonts w:ascii="Arial" w:cs="Arial" w:eastAsia="Arial" w:hAnsi="Arial"/>
          <w:sz w:val="18"/>
          <w:szCs w:val="18"/>
          <w:color w:val="auto"/>
        </w:rPr>
        <w:t>LPP allows automotive lenders to add financing solutions and increase underwriting and credit protection solutions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enable such automotive lenders to make more near-prime and non-prime loans with attractive risk return profiles. With LPP, automotive lenders are able to make loans on additional vehicles, including financing on older model vehicles, higher mileage used vehicles, longer loan terms and on after-market product sales.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Higher loan advance rates. </w:t>
      </w:r>
      <w:r>
        <w:rPr>
          <w:rFonts w:ascii="Arial" w:cs="Arial" w:eastAsia="Arial" w:hAnsi="Arial"/>
          <w:sz w:val="18"/>
          <w:szCs w:val="18"/>
          <w:color w:val="auto"/>
        </w:rPr>
        <w:t>LPP may enable higher loan advances relative to vehicle value on auto loans. With LPP, indirect lenders are able to offer a</w:t>
      </w:r>
      <w:r>
        <w:rPr>
          <w:rFonts w:ascii="Arial" w:cs="Arial" w:eastAsia="Arial" w:hAnsi="Arial"/>
          <w:sz w:val="18"/>
          <w:szCs w:val="18"/>
          <w:i w:val="1"/>
          <w:iCs w:val="1"/>
          <w:color w:val="auto"/>
        </w:rPr>
        <w:t xml:space="preserve"> </w:t>
      </w:r>
      <w:r>
        <w:rPr>
          <w:rFonts w:ascii="Arial" w:cs="Arial" w:eastAsia="Arial" w:hAnsi="Arial"/>
          <w:sz w:val="18"/>
          <w:szCs w:val="18"/>
          <w:color w:val="auto"/>
        </w:rPr>
        <w:t>higher payment to income ratio allowing automotive lenders and dealers to receive internal approvals more often on requested loan structures instead of receiving counteroffers at lower loan advance rates.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Ability to finance older model year vehicles. </w:t>
      </w:r>
      <w:r>
        <w:rPr>
          <w:rFonts w:ascii="Arial" w:cs="Arial" w:eastAsia="Arial" w:hAnsi="Arial"/>
          <w:sz w:val="18"/>
          <w:szCs w:val="18"/>
          <w:color w:val="auto"/>
        </w:rPr>
        <w:t>LPP underwriting allows automotive lenders to advance loans on used vehicles up to eleven model years old,</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four to seven model years under traditional automotive loan models.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Ability to finance higher mileage vehicles and longer loan terms. </w:t>
      </w:r>
      <w:r>
        <w:rPr>
          <w:rFonts w:ascii="Arial" w:cs="Arial" w:eastAsia="Arial" w:hAnsi="Arial"/>
          <w:sz w:val="17"/>
          <w:szCs w:val="17"/>
          <w:color w:val="auto"/>
        </w:rPr>
        <w:t>Many automotive lenders limit mileage on eligible vehicles to 100,000 miles or less. LPP</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underwriting guidelines allow automotive lenders to underwrite loans for eligible vehicles up to 150,000 miles, enabling automotive lenders to finance the purchase of vehicles with higher mileage and expanding the sales reach of lenders and dealers. In addition, LPP supports loan terms up to 84 months for qualified new and used vehicles allowing lenders to better serve near-prime and non-prime customers.</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Higher allowance for after-market product sales. </w:t>
      </w:r>
      <w:r>
        <w:rPr>
          <w:rFonts w:ascii="Arial" w:cs="Arial" w:eastAsia="Arial" w:hAnsi="Arial"/>
          <w:sz w:val="17"/>
          <w:szCs w:val="17"/>
          <w:color w:val="auto"/>
        </w:rPr>
        <w:t>A material profit center for auto dealers is the profit on the sale of after-market products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Guaranteed Asset Protection insurance, or insurance covering the difference between the loan balance and insurance proceeds when a vehicle is damaged, vehicle warranties and extended service plans. Automotive lenders generally impose a maximum limit on the amount of after-market products that can be included in the loan balance. With LPP, the maximum limit on after-market products that can be included in the loan balance is generally higher, allowing dealers the opportunity to make higher profits. If the automotive lender has a significant flow of direct to consumer auto loans, they also have the ability to sell these products and generate incremental fee income from higher after-market product sales.</w:t>
      </w:r>
    </w:p>
    <w:p>
      <w:pPr>
        <w:spacing w:after="0" w:line="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Increased profitability and higher risk-adjusted return on assets. </w:t>
      </w:r>
      <w:r>
        <w:rPr>
          <w:rFonts w:ascii="Arial" w:cs="Arial" w:eastAsia="Arial" w:hAnsi="Arial"/>
          <w:sz w:val="16"/>
          <w:szCs w:val="16"/>
          <w:color w:val="auto"/>
        </w:rPr>
        <w:t>In an effort to manage risk, most automotive lenders concentrate their loan portfolios in</w:t>
      </w:r>
      <w:r>
        <w:rPr>
          <w:rFonts w:ascii="Arial" w:cs="Arial" w:eastAsia="Arial" w:hAnsi="Arial"/>
          <w:sz w:val="16"/>
          <w:szCs w:val="16"/>
          <w:i w:val="1"/>
          <w:iCs w:val="1"/>
          <w:color w:val="auto"/>
        </w:rPr>
        <w:t xml:space="preserve"> </w:t>
      </w:r>
      <w:r>
        <w:rPr>
          <w:rFonts w:ascii="Arial" w:cs="Arial" w:eastAsia="Arial" w:hAnsi="Arial"/>
          <w:sz w:val="16"/>
          <w:szCs w:val="16"/>
          <w:color w:val="auto"/>
        </w:rPr>
        <w:t>super prime and prime auto loans. Automotive lenders’ appetite for these loans results in a very efficient market where competition is expressed through interest rates. For automotive lenders that do not have size and scale, the result is a compressed return on assets on their super prime and prime loan portfolios. The near-prime and non-prime segment is much less efficient and consumer behavior is driven more by monthly loan payments than interest rates. We believe LPP enables automotive lenders to generate higher returns on assets and equity than traditional prime and super prime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portfolios with a risk profile supported by credit default protection from highly rated insurers. Additionally, many of the loans generated using LPP have already been processed and denied through the automotive lender’s loan origination system. The automotive lenders already incur costs for processing such loans and LPP enables such lenders to convert the costs of a denied loan into an earning asset.</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i w:val="1"/>
          <w:iCs w:val="1"/>
          <w:color w:val="auto"/>
        </w:rPr>
        <w:t xml:space="preserve">Loss mitigation on near-prime and non-prime loans. </w:t>
      </w:r>
      <w:r>
        <w:rPr>
          <w:rFonts w:ascii="Arial" w:cs="Arial" w:eastAsia="Arial" w:hAnsi="Arial"/>
          <w:sz w:val="17"/>
          <w:szCs w:val="17"/>
          <w:color w:val="auto"/>
        </w:rPr>
        <w:t>Near-prime and non-prime auto loans carry more risk and higher losses than super prime and prime</w:t>
      </w:r>
      <w:r>
        <w:rPr>
          <w:rFonts w:ascii="Arial" w:cs="Arial" w:eastAsia="Arial" w:hAnsi="Arial"/>
          <w:sz w:val="17"/>
          <w:szCs w:val="17"/>
          <w:i w:val="1"/>
          <w:iCs w:val="1"/>
          <w:color w:val="auto"/>
        </w:rPr>
        <w:t xml:space="preserve"> </w:t>
      </w:r>
      <w:r>
        <w:rPr>
          <w:rFonts w:ascii="Arial" w:cs="Arial" w:eastAsia="Arial" w:hAnsi="Arial"/>
          <w:sz w:val="17"/>
          <w:szCs w:val="17"/>
          <w:color w:val="auto"/>
        </w:rPr>
        <w:t>auto loans. The default insurance coverage offered to our customers transfers the majority of the risk and increased losses to the insurers.</w:t>
      </w:r>
    </w:p>
    <w:p>
      <w:pPr>
        <w:spacing w:after="0" w:line="5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Intuitive solution with seamless integration. </w:t>
      </w:r>
      <w:r>
        <w:rPr>
          <w:rFonts w:ascii="Arial" w:cs="Arial" w:eastAsia="Arial" w:hAnsi="Arial"/>
          <w:sz w:val="18"/>
          <w:szCs w:val="18"/>
          <w:color w:val="auto"/>
        </w:rPr>
        <w:t>With five second decisioning, LPP is an intuitive, easy to use technology platform. LPP can be integrated into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existing loan origination system of financial institutions and automotive lenders. This streamlined workflow makes borrower point-of-sale financing available for automotive lenders of all sizes.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Carriers</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Access to our proprietary technology and lenders. </w:t>
      </w:r>
      <w:r>
        <w:rPr>
          <w:rFonts w:ascii="Arial" w:cs="Arial" w:eastAsia="Arial" w:hAnsi="Arial"/>
          <w:sz w:val="18"/>
          <w:szCs w:val="18"/>
          <w:color w:val="auto"/>
        </w:rPr>
        <w:t>Over the past two decades, we have built and refined our technology in an effort to deliver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value to automotive lenders. We believe our insurance carrier partners would require significant time and investment to build such a technology solution and lender network.</w:t>
      </w:r>
    </w:p>
    <w:p>
      <w:pPr>
        <w:spacing w:after="0" w:line="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No customer acquisition cost and limited operating expenses. </w:t>
      </w:r>
      <w:r>
        <w:rPr>
          <w:rFonts w:ascii="Arial" w:cs="Arial" w:eastAsia="Arial" w:hAnsi="Arial"/>
          <w:sz w:val="18"/>
          <w:szCs w:val="18"/>
          <w:color w:val="auto"/>
        </w:rPr>
        <w:t>LPP alleviates the need for its insurance carrier partners to bear any marketing,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or technology infrastructure costs to insure loans. In addition, by providing claims administration services, we minimize the insurer carriers’ administrative burden in servicing insurance policies.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Diversified risk with increased return on equity. </w:t>
      </w:r>
      <w:r>
        <w:rPr>
          <w:rFonts w:ascii="Arial" w:cs="Arial" w:eastAsia="Arial" w:hAnsi="Arial"/>
          <w:sz w:val="18"/>
          <w:szCs w:val="18"/>
          <w:color w:val="auto"/>
        </w:rPr>
        <w:t>Auto loan default coverage is a relatively unique line of insurance for insurers and, historically, our</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carrier partners have experienced significant underwriting profitability.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Borrowers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Lower interest rates. </w:t>
      </w:r>
      <w:r>
        <w:rPr>
          <w:rFonts w:ascii="Arial" w:cs="Arial" w:eastAsia="Arial" w:hAnsi="Arial"/>
          <w:sz w:val="18"/>
          <w:szCs w:val="18"/>
          <w:color w:val="auto"/>
        </w:rPr>
        <w:t>Given the costs and financial goals of our automotive lenders and the specific risks posed by each loan, the goal of LPP is to find the</w:t>
      </w:r>
      <w:r>
        <w:rPr>
          <w:rFonts w:ascii="Arial" w:cs="Arial" w:eastAsia="Arial" w:hAnsi="Arial"/>
          <w:sz w:val="18"/>
          <w:szCs w:val="18"/>
          <w:i w:val="1"/>
          <w:iCs w:val="1"/>
          <w:color w:val="auto"/>
        </w:rPr>
        <w:t xml:space="preserve"> </w:t>
      </w:r>
      <w:r>
        <w:rPr>
          <w:rFonts w:ascii="Arial" w:cs="Arial" w:eastAsia="Arial" w:hAnsi="Arial"/>
          <w:sz w:val="18"/>
          <w:szCs w:val="18"/>
          <w:color w:val="auto"/>
        </w:rPr>
        <w:t>lowest interest rate for borrowers.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Increased approvals and higher loan amounts. </w:t>
      </w:r>
      <w:r>
        <w:rPr>
          <w:rFonts w:ascii="Arial" w:cs="Arial" w:eastAsia="Arial" w:hAnsi="Arial"/>
          <w:sz w:val="18"/>
          <w:szCs w:val="18"/>
          <w:color w:val="auto"/>
        </w:rPr>
        <w:t>We believe that automotive lenders using LPP are able to provide more loan approvals to near-prime and</w:t>
      </w:r>
      <w:r>
        <w:rPr>
          <w:rFonts w:ascii="Arial" w:cs="Arial" w:eastAsia="Arial" w:hAnsi="Arial"/>
          <w:sz w:val="18"/>
          <w:szCs w:val="18"/>
          <w:i w:val="1"/>
          <w:iCs w:val="1"/>
          <w:color w:val="auto"/>
        </w:rPr>
        <w:t xml:space="preserve"> </w:t>
      </w:r>
      <w:r>
        <w:rPr>
          <w:rFonts w:ascii="Arial" w:cs="Arial" w:eastAsia="Arial" w:hAnsi="Arial"/>
          <w:sz w:val="18"/>
          <w:szCs w:val="18"/>
          <w:color w:val="auto"/>
        </w:rPr>
        <w:t>non-prime borrowers. Loans approved with LPP typically have higher loan advance rates relative to vehicle value than loans from lenders that do not use LPP.</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Reduction or elimination of loan down payments. </w:t>
      </w:r>
      <w:r>
        <w:rPr>
          <w:rFonts w:ascii="Arial" w:cs="Arial" w:eastAsia="Arial" w:hAnsi="Arial"/>
          <w:sz w:val="18"/>
          <w:szCs w:val="18"/>
          <w:color w:val="auto"/>
        </w:rPr>
        <w:t>We believe the higher loan advance rate on loans approved with LPP results in reduction or elimination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amount of down payment required of borrowers.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Lower monthly payments. </w:t>
      </w:r>
      <w:r>
        <w:rPr>
          <w:rFonts w:ascii="Arial" w:cs="Arial" w:eastAsia="Arial" w:hAnsi="Arial"/>
          <w:sz w:val="18"/>
          <w:szCs w:val="18"/>
          <w:color w:val="auto"/>
        </w:rPr>
        <w:t>Near-prime and non-prime borrowers are more sensitive to monthly payment requirements than interest rates. By allowing longer</w:t>
      </w:r>
      <w:r>
        <w:rPr>
          <w:rFonts w:ascii="Arial" w:cs="Arial" w:eastAsia="Arial" w:hAnsi="Arial"/>
          <w:sz w:val="18"/>
          <w:szCs w:val="18"/>
          <w:i w:val="1"/>
          <w:iCs w:val="1"/>
          <w:color w:val="auto"/>
        </w:rPr>
        <w:t xml:space="preserve"> </w:t>
      </w:r>
      <w:r>
        <w:rPr>
          <w:rFonts w:ascii="Arial" w:cs="Arial" w:eastAsia="Arial" w:hAnsi="Arial"/>
          <w:sz w:val="18"/>
          <w:szCs w:val="18"/>
          <w:color w:val="auto"/>
        </w:rPr>
        <w:t>loan terms, LPP may lead to lower monthly payments for borrowers. By eliminating or reducing down payments and lowering monthly payments, LPP lowers monthly borrowing costs, giving borrowers more disposable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We have experienced in the past, and may continue to experience, seasonal fluctuations in our volumes and revenues as a result of consumer spending patterns for the purchase of automobiles. Operating expenses show less seasonal fluctuation, with the result that net income is subject to the similar seasonal factors as our volumes and revenues.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experience competition to sign and maintain automotive lenders and to facilitate funding of near-prime and non-prime auto loans. LPP, which combines lending enablement, risk analytics, near-prime and non-prime auto loan performance data, real-time loan decisioning, risk-based pricing and auto loan default insurance, is a unique solution for which we have not identified any direct competitors.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compete with loan origination system providers that perform custom underwriting rules and loan underwriting, as well as third-party lending-as-a-service companies that provide turn-key loan origination systems.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near-prime and non-prime lending market is highly fragmented and competitive. We face competition from a diverse landscape of consumer lenders, including traditional banks and credit unions, as well as alternative technology-enabled lenders. Many of our competitors are (or are affiliated with) financial institutions with the capacity to hold loans on their balance sheets. These would include money center banks, super-banks, banks, captive finance companies of automakers and sub-prime lenders.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9" w:name="page10"/>
    <w:bookmarkEnd w:id="9"/>
    <w:p>
      <w:pPr>
        <w:jc w:val="both"/>
        <w:ind w:right="20"/>
        <w:spacing w:after="0" w:line="277" w:lineRule="auto"/>
        <w:rPr>
          <w:sz w:val="20"/>
          <w:szCs w:val="20"/>
          <w:color w:val="auto"/>
        </w:rPr>
      </w:pPr>
      <w:r>
        <w:rPr>
          <w:rFonts w:ascii="Arial" w:cs="Arial" w:eastAsia="Arial" w:hAnsi="Arial"/>
          <w:sz w:val="18"/>
          <w:szCs w:val="18"/>
          <w:color w:val="auto"/>
        </w:rPr>
        <w:t>Some of these competitors offer a broader suite of products and services than we do, including retail banking solutions, credit and debit cards and loyalty programs.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operate in a heavily regulated industry that is highly focused on consumer protection. Statutes, regulations and practices that have been in place for many years may be changed, and new laws have been, and may continue to be, introduced to address real and perceived problems in the financial services industry in general and automotive lending in particular. These laws and how they are interpreted continue to evolve.</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regulatory framework to which we are subject includes U.S. federal, state and local laws, regulations and rules. U.S. federal, state and local governmental authorities, including state financial services and insurance regulatory agencies, have broad oversight and supervisory authority over our business. Federal and state agencies also have broad enforcement powers over us, including powers to investigate our business practices and broad discretion to deem particular practices unfair, deceptive, abusive or otherwise not in accordance with the law.</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requires compliance with several regulatory regimes, including consumer lending. In particular, the laws which we may be subject to directly or indirectly include, but are not limited to, the following:</w:t>
      </w:r>
    </w:p>
    <w:p>
      <w:pPr>
        <w:spacing w:after="0" w:line="62" w:lineRule="exact"/>
        <w:rPr>
          <w:sz w:val="20"/>
          <w:szCs w:val="20"/>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 laws and regulations that impose requirements related to loan disclosures and terms, credit discrimination, and unfair or deceptive business practices;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Truth-in-Lending Act, and its implementing Regulation Z, and similar state laws, which require certain disclosures to borrowers regarding the terms and conditions of their loans and credit transactions;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 5 of the Federal Trade Commission Act, which prohibits unfair and deceptive acts or practices in or affecting commerce;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 1031 of the Dodd-Frank Wall Street Reform and Consumer Protection Act (“Dodd-Frank” or the “Dodd-Frank Act”), which prohibits unfair, deceptive, or abusive acts or practices (“UDAAP”), in connection with any consumer financial product or service;</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Equal Credit Opportunity Act, and its implementing Regulation B, which prohibit creditors from discriminating against credit applicants regarding any aspect of a credit transaction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or any applicable state law;</w:t>
      </w:r>
    </w:p>
    <w:p>
      <w:pPr>
        <w:spacing w:after="0" w:line="7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FCRA, and its implementing Regulation V, as amended by the Fair and Accurate Credit Transactions Act, which promotes the accuracy, fairness and privacy of information in the files of consumer reporting agencies and imposes certain notice and disclosure obligations on the users of consumer reports and credit scores;</w:t>
      </w:r>
    </w:p>
    <w:p>
      <w:pPr>
        <w:spacing w:after="0" w:line="75"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Gramm-Leach-Bliley Act (“GLBA”), and the California Consumer Protection Act, which includes limitations on the disclosure of consumer information (e.g., nonpublic personal information) by financial institutions and their service providers about a consumer to non-affiliated third-parties, in certain circumstances requires financial institutions to limit the use and further disclosure of consumer information by non-affiliated third-parties to whom they disclose such information and requires financial institutions to disclose certain privacy policies and practices with respect to information sharing with affiliated and non-affiliated entities as well as to safeguard personal customer information, and other privacy laws and regulations;</w:t>
      </w:r>
    </w:p>
    <w:p>
      <w:pPr>
        <w:spacing w:after="0" w:line="8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California Consumer Privacy Act, the Colorado Privacy Act, Virginia’s Consumer Data Protection Act, and other state and local data privacy and security laws that may be enacted from time to time;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Electronic Fund Transfer Act, and Regulation E promulgated thereunder, which provide disclosure requirements, guidelines and restrictions on the electronic transfer of funds from consumers’ bank accounts;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Bank Secrecy Act, which relates to compliance with anti-money laundering, customer due diligence and record-keeping policies and procedures.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We are also subject to state insurance, insurance brokering, insurance agency regulations, third-party administration company statutes and similar statutes.</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number and complexity of these laws, discussed below, present compliance and litigation risks from inadvertent error and omissions which we may not be able to eliminate from our operation or activities. The laws, regulations and rules described above are subject to legislative, administrative and judicial interpretation, and some of these laws and regulations have been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0" w:name="page11"/>
    <w:bookmarkEnd w:id="10"/>
    <w:p>
      <w:pPr>
        <w:jc w:val="both"/>
        <w:spacing w:after="0" w:line="279" w:lineRule="auto"/>
        <w:rPr>
          <w:sz w:val="20"/>
          <w:szCs w:val="20"/>
          <w:color w:val="auto"/>
        </w:rPr>
      </w:pPr>
      <w:r>
        <w:rPr>
          <w:rFonts w:ascii="Arial" w:cs="Arial" w:eastAsia="Arial" w:hAnsi="Arial"/>
          <w:sz w:val="17"/>
          <w:szCs w:val="17"/>
          <w:color w:val="auto"/>
        </w:rPr>
        <w:t>infrequently interpreted or only recently enacted. Infrequent interpretations of these laws and regulations or an insignificant number of interpretations of recently enacted laws and regulations can result in ambiguity with respect to permitted or prohibited conduct under these laws and regulations. Any ambiguity under the laws and regulations to which we are subject may lead to regulatory investigations or enforcement actions and private causes of action, such as class-action lawsuits, with respect to our compliance with applicable laws and regulations.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states have adopted laws regulating and requiring licensing by parties that engage in certain activity regarding consumer finance and insurance transactions, including facilitating and assisting such transactions in certain circumstances. Furthermore, certain states and localities have also adopted laws requiring licensing for consumer debt collection or servicing. We must comply with state licensing requirements to conduct our business. Lenders Protection, LLC, our wholly owned subsidiary (“Lenders Protection”), is licensed as a property and casualty insurance agency and regulated by the insurance regulator in each state in which we operate. All sales personnel are individually licensed as property and casualty insurance agents in each state in which they operate. All claims adjusters are individually licensed to adjudicate claims in all states where claims licenses are required. In those states where it is required, IAS is licensed as a third-party claims administration entity and is regulated by the insurance regulator in each state in which licensing is required.</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supervised by regulatory agencies under U.S. law. From time to time, we may receive examination requests that require us to provide records, documents and information relating to our business operations. State attorneys general, state licensing regulators, and state and local consumer protection offices as well as federal agencies (e.g., the Consumer Financial Protection Bureau) have authority to investigate consumer complaints and to commence investigations and other formal and informal proceedings regarding our operations and activities.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employees are a critical component of our success. As of December 31, 2022, we had 180 employees, primarily located in the greater Austin, Texas area. We consider our relationship with our employees to be good and strive to maintain a mission-driven culture with a focus on employee input and well-being. Our core values are integrity, accountability, quality, commitment, perseverance, respect and teamwork.</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encourage and support the growth and development of our employees. Continual learning and career development is advanced through ongoing performance and development conversations with employees, internally developed training programs, customized corporate training engagements and educational reimbursement programs.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safety, health and wellness of our employees is a top priority. On an ongoing basis, we promote the health and wellness of our employees by strongly encouraging work-life balance, offering flexible work schedules, parental leave, on-site gym, keeping the employee portion of health care premiums to a minimum and sponsoring various wellness programs.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website address is www.openlending.com. Our annual reports on Form 10-K, quarterly reports on Form 10-Q, current reports on Form 8-K and amendments to those reports filed or furnished pursuant to Section 13(a) or 15(d) of the Exchange Act are available through the investor relations page of our website as soon as reasonably practicable after we electronically file such material with, or furnish it to, the Securities and Exchange Commission (“SEC”). Our website and the information contained therein or connected thereto are not intended to be incorporated into this Annual Report.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A description of the material and other risks and uncertainties associated with our business and industry is set forth below. You should carefully consider the risks and uncertainties described below, together with all of the other information in this Annual Report, including our audited consolidated financial statements and notes thereto and </w:t>
      </w:r>
      <w:r>
        <w:rPr>
          <w:rFonts w:ascii="Arial" w:cs="Arial" w:eastAsia="Arial" w:hAnsi="Arial"/>
          <w:sz w:val="16"/>
          <w:szCs w:val="16"/>
          <w:u w:val="single" w:color="auto"/>
          <w:color w:val="0000FF"/>
        </w:rPr>
        <w:t>Item 7.</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0000FF"/>
        </w:rPr>
        <w:t>Management’s Discussion and Analysis of Financial Condition and Results of Operations</w:t>
      </w:r>
      <w:r>
        <w:rPr>
          <w:rFonts w:ascii="Arial" w:cs="Arial" w:eastAsia="Arial" w:hAnsi="Arial"/>
          <w:sz w:val="16"/>
          <w:szCs w:val="16"/>
          <w:color w:val="auto"/>
        </w:rPr>
        <w:t xml:space="preserve"> of this Annual Report before deciding whether to purchase shares of our common stock. If any of the following risks are realized, our business, financial condition, operating results and prospects could be materially and adversely affected. In that event, the price of our common stock could decline, perhaps significantly. Additional risks and uncertainties not presently known to us or that we currently deem immaterial also may impair our business operation.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117" w:lineRule="exact"/>
        <w:rPr>
          <w:sz w:val="20"/>
          <w:szCs w:val="20"/>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results of operations and continued growth depend on our ability to retain existing and attract new automotive lenders, and a significant percentage of program fee revenue for us is concentrated with our top ten customers.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revenue is impacted, to a significant extent, by the general economy and the financial performance of automotive lenders.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ongoing global semiconductor chip supply shortage has negatively affected, and may continue to negatively affect, our business.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results depend, to a significant extent, on the active and effective adoption of LPP by automotive lenders.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lose one or more of our insurance carriers and are unable to replace their commitments, it could have a material adverse effect on our business.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Privacy concerns or security breaches relating to LPP could result in economic loss, damage our reputation, deter users from using our products and expose us to legal penalties and liability.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market interest rates have and could continue to have an adverse effect on our business.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vendor relationships subject us to a variety of risks, and the failure of third parties to comply with legal or regulatory requirements or to provide various services that are important to our operations could have an adverse effect on our business.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Fraudulent activity could negatively impact our business and could cause automotive lenders to be less willing to originate loans or insurance carriers to be less willing to underwrite policies through the use of LPP.</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Cyber-attacks and other security breaches could have an adverse effect on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in the operation of our computer systems and third-party data centers could have an adverse effect on our business.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underwriting models we use contain errors or are otherwise ineffective, our reputation and relationships with automotive lenders and insurance carriers could be harmed and could have a material adverse effect on our business.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depend on the accuracy and completeness of information about consumers and any misrepresented information could adversely affect our business.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extensively on models in managing many aspects of our business. Any inaccuracies or errors in our models could have an adverse effect on our business.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consumer lending industry is highly competitive and is likely to become more competitive and our inability to compete successfully or maintain or improve our market share and margins could adversely affect our business.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in the future expand to new industry verticals outside of the automotive industry, and failure to comply with applicable regulations, or accurately predict demand or growth in those new industries, could have an adverse effect on our business.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2022 Credit Agreement (as defined hereinafter) that governs our credit facility contains various covenants that could limit our ability to engage in activities that may be in our best long-term interest.</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sufficiently protect our proprietary rights and may encounter disputes from time to time relating to our use of the intellectual property of third parties.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risk management processes and procedures may not be effective.</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Some aspects of our platform include open source software, and any failure to comply with the terms of one or more of these open source licenses could negatively affect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the extent that we seek to grow through future acquisitions, or other strategic investments or alliances, we may not be able to do so effectively.</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global economic impacts of Russia’s invasion of Ukraine could adversely affect our business, financial condition or operating results.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Risks Related to Our Regulatory Environment</w:t>
      </w:r>
    </w:p>
    <w:p>
      <w:pPr>
        <w:spacing w:after="0" w:line="117" w:lineRule="exact"/>
        <w:rPr>
          <w:sz w:val="20"/>
          <w:szCs w:val="20"/>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some federal and state consumer protection laws. The contours of the Dodd-Frank UDAAP standard remain uncertain and there is a risk that certain features of our business could be deemed to be a UDAAP.</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industry is highly regulated and is undergoing regulatory transformation, which results in inherent uncertainty.</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Regulations relating to privacy, information security and data protection could increase our costs, affect or limit how we collect and use personal information and adversely affect our business opportunities.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Business Combination and Integration of Businesses</w:t>
      </w:r>
    </w:p>
    <w:p>
      <w:pPr>
        <w:spacing w:after="0" w:line="11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management has limited experience in operating a public company.</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and may continue to incur significant increased expenses and administrative burdens as a public company, which could have an adverse effect on our business, financial condition and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117" w:lineRule="exact"/>
        <w:rPr>
          <w:sz w:val="20"/>
          <w:szCs w:val="20"/>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active trading market for our common stock may not be sustained, which may make it difficult to sell the shares of our common stock purchased by our stockholders.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 price of our common stock has been and may continue to be volatile, which could cause the value of our stockholders’ investment to decline.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Because we have no current plans to pay cash dividends on our common stock, our stockholders may not receive any return on investment unless they sell our common stock for a price greater than the purchase price.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provisions of our certificate of incorporation and bylaws could hinder, delay or prevent a change in control, which could adversely affect the price of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and continued growth depend on our ability to retain existing, and attract new, automotive lenders.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automotive lenders make fewer overall automotive loans or cease to use LPP to make such loans, we will fail to generate future revenues. To attract and retain automotive lenders, we market LPP to automotive lenders on the basis of a number of factors, including loan analytics, risk-based pricing, risk modeling and automated decision-technology, as well as integration, customer service, brand and reputation. Automotive lenders are able to leverage the geographic diversity of the loans they can originate through LPP with the simplicity of our five-second, all-inclusive loan offer generation. Automotive lenders, however, have alternative sources for internal loan generation, and they could elect to originate loans through those alternatives rather than through LPP. There is significant competition for existing automotive lenders. If we fail to retain automotive lenders, and do not enroll new automotive lenders of similar size and profitability, it will have a material adverse effect on our business and future growth. There has been some turnover in automotive lenders, as well as varying activation rates and volatility in usage of our platform by automotive lenders, and this may continue or increase in the future. Agreements with automotive lenders are cancellable on thirty days’ notice and do not require any minimum monthly level of application submissions. If a significant number of existing automotive lenders decide to stop using LPP or to use other competing platforms, thereby reducing their use of LPP, it would have a material adverse effect on our business and results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is impacted, to a significant extent, by the general economy and the financial performance of automotive lenders.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the consumer financial services industry and automotive lenders’ businesses, are sensitive to macroeconomic conditions. Economic factors such as interest rates, inflation, changes in monetary and related policies, market volatility, consumer confidence and unemployment rates are among the most significant factors that impact consumer spending behavior. Weak economic conditions or a significant deterioration in economic conditions reduce the amount of disposable income consumers have, which in turn reduces consumer spending and the willingness of qualified borrowers to take out loans. Such conditions are also likely to affect the ability and willingness of borrowers to pay amounts owed to automotive lenders, each of which would have a material adverse effect on our business.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economic conditions and the willingness or ability of automotive lenders to deploy capital impact our performance. Recently, the credit markets have experienced instability, resulting in credit and liquidity concerns and increased loan default</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rates. Many lenders have subsequently reduced their willingness to make new loans and have tightened their credit requirements.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generation of new loans through LPP, as well as the transaction fees and other fee income associated with such loans, is dependent upon sales of automobiles by dealers. Dealers’ sales may decrease or fail to increase as a result of factors outside of their control, such as the macroeconomic conditions referenced above, or business conditions affecting a particular automobile dealer, industry vertical or region. Weak economic conditions also could extend the length of dealers’ sales cycle and cause customers to delay making (or not make) purchases of automobiles. The decline of sales by dealers for any reason will generally result in lower credit sales and, therefore, lower loan volume and associated fee income for automotive lenders, and therefore, for us. This risk is particularly acute with respect to the largest automobile dealers associated with automotive lenders that account for a significant amount of our platform revenue.</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if an automobile dealer or automotive lender closes some or all of its locations or becomes subject to a voluntary or involuntary bankruptcy proceeding (or if there is a perception that it may become subject to a bankruptcy proceeding), LPP borrowers may have less incentive to pay their outstanding balances to automotive lenders, which could result in higher charge-off rates than anticipated.</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Weakening economic conditions, in particular increases in unemployment, will lead to increased defaults and insurance claim payments, resulting in higher losses for insurance carriers. Increased claim payments may affect the willingness of insurance carriers to provide default insurance. In the event insurer losses cause one of our insurance carriers to cease providing insurance, it would have a material adverse effect on our operations and financial results.</w:t>
      </w:r>
    </w:p>
    <w:p>
      <w:pPr>
        <w:spacing w:after="0" w:line="4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severity of loss on consumer defaults impacts our profit share revenue. To the extent inflated used car values revert to normalized levels, future decreases in used car values could increase severity of loss, which could have a material adverse impact to our profit share revenue.</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ongoing global semiconductor chip supply shortage has negatively affected, and may continue to negatively affect, our business.</w:t>
      </w:r>
    </w:p>
    <w:p>
      <w:pPr>
        <w:spacing w:after="0" w:line="1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New vehicle production has declined substantially in 2021 and 2022 as compared to prior years, due in large part to the global semiconductor chip supply shortage and related supply chain disruptions. As a result, new vehicle inventory in the U.S. in 2021 and 2022 was appreciably lower than in prior years. This significantly lower level of new vehicle inventory has harmed, and may continue to harm, our business. The lower level of new vehicle production has diminished the need for automotive loans, which has in turn reduced demand from our lender customers for LPP. Additionally, as chips have become more scarce, auto manufacturers have been more inclined to allocate chips to their most profitable units, which are usually their most expensive vehicles. This has reduced demand for LPP since our lender customers typically utilize LPP to facilitate more auto loans to borrowers in the near-prime and non-prime credit space who do not normally purchase the most expensive vehicles. Further, while the current supply of new vehicles is substantially lower than historical levels, the demand for new vehicles has not abated. New vehicle prices have risen accordingly, and these higher prices have pushed many would-be borrowers out of the new car market altogether.</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these factors, in addition to any other chip shortage-related risks to our business that may develop over time, may affect our ability to generate certified loans through LPP, and therefore pose and may continue to pose material risks to our operating results, financial condition and cash flows, particularly since the duration of the current chip shortage is unknown.</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percentage of our program fee revenue is concentrated with our top ten automotive lenders, and the loss of one or more significant automotive lenders could have a negative impact on operating results.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top ten automotive lenders (including certain groups of affiliated automotive lenders) accounted for a significant percentage of the total program fee revenue in 2022. We expect to have significant concentration in our largest automotive lender relationships for the foreseeable future. In the event that one or more of our significant automotive lenders, or groups of automotive lenders terminate their relationships with us, or if one or more of our significant automotive lenders generates significantly fewer certified loans, the number of loans originated through LPP would decline, which would materially and adversely affect our business and, in turn, our revenue.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depend, to a significant extent, on the active and effective adoption of LPP by automotive lenders.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success depends on the active and effective adoption of LPP by automotive lenders in originating loans to near-prime and non-prime borrowers. We rely on automotive lenders to utilize LPP within their loan origination systems. Although automotive lenders generally are under no obligation to use LPP in generating their loans, the integrated loan and insurance offering by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LPP encourages the use of LPP by automotive lenders. Any adverse accounting determinations concerning loans generated by automotive lenders using LPP could negatively affect further adoption of LPP. The failure by automotive lenders to effectively adopt LPP would have a material adverse effect on the rate at which they can lend to near-prime and non-prime borrowers and in turn, would have a material adverse effect on our business, revenues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lose one or more of our insurance carriers and are unable to replace their commitments, it could have a material adverse effect on our business.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2022, we relied on four insurance carriers to insure the loans generated by the automotive lenders using LPP. We have entered into separate producer and claims service agreements with each of these carriers. The producer and claims service agreements with these insurance carriers generally contain customary termination provisions that allow them to terminate the agreement upon written notice after the occurrence of certain events including, among other things, breach of the producer agreement; changes in regulatory requirements making the agreement unenforceable; or for convenience once the agreement’s fixed term has come to an end.</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January 24, 2023, CNA, one of our insurance carriers, informed us of their intent not to renew their producer and claims service agreements with us when they expire on December 31, 2023. CNA will continue to provide auto loan default insurance policies for LPP certified loans until the terms of their producer and claims service agreements expire on December 31, 2023, unless mutual agreements with CNA are reached to transition new originations to our other insurance carriers prior to December 31, 2023. In addition, CNA will continue to service and provide claim funding for any of its existing default insurance policies for the remaining life of the loans associated with such policies.</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Following CNA’s departure from LPP at the end of 2023, we will continue to partner with three insurance carriers: (i) AmTrust, which is under contract through December 2028, (ii) American National Insurance Company, which is under contract through June 2026, and (iii) Arch Insurance North America, which is under contract through April 2027. If any of our other insurance carriers were to terminate their agreements with us and we are unable to replace their commitments, it could have a material adverse effect on our business, operations and financial condition.</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condition and results of operations have been and may continue to be adversely affected by the impact of the COVID-19 pandemic.</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COVID-19 pandemic has adversely affected workforces, organizations, customers, economies and financial markets globally. In light of the uncertainty relating to the COVID-19 pandemic and its variants, we have taken precautionary measures, including offering many employees a work from home option. Although we continue to monitor the situation and may adjust our current policies as more information and public health guidance become available, precautionary measures that have been adopted could negatively affect our customer success efforts, customer retention, sales and marketing efforts, delay and lengthen our sales cycles, affect our revenue growth rate, or create operational or other challenges, any of which could harm our business and results of operations.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extent and duration of the impact of the COVID-19 pandemic on the global economy remains uncertain at this time. Any continued significant economic impact could have a substantial adverse effect on our financial condition, liquidity, and results of operations. If these conditions persist for a prolonged period, they could have a material adverse effect on our future revenue and net income.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Finally, the COVID-19 pandemic may also have the effect of heightening many of the other risks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experienced rapid growth, which may be difficult to sustain, and which may place significant demands on operational, administrative and financial resources.</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growth has caused significant demands on operations, marketing, compliance and accounting infrastructure, and has resulted in increased expenses, which we expect to continue as we grow. In addition, we are required to continuously develop and adapt systems and infrastructure in response to the increasing sophistication of the consumer finance market and regulatory developments relating to existing and projected business activities and those of automotive lenders. Our future growth will depend, among other things, on our ability to maintain an operating platform and management system sufficient to address growth and will require us to incur significant additional expenses and to commit additional senior management and operational resources.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As a result of our growth, we face significant challenges in:</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securing commitments from existing and new automotive lenders to provide loans to consumers;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existing and developing new relationships with additional automotive lenders;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adequate financial, business and risk controls;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training, managing and appropriately sizing workforce and other components of business on a timely and cost-effective basis;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navigating complex and evolving regulatory and competitive environments;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the number of borrowers in, and the volume of loans facilitated through, LPP;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entering into new markets and introducing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continuing to revise proprietary credit decisioning and scoring models;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continuing to develop, maintain and scale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effectively using limited personnel and technology resources;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the security of our platform and the confidentiality of the information (including personally identifiable information) provided and utilized across our platform;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attracting, integrating and retaining an appropriate number of qualified employees.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may not be able to manage expanding operations effectively, and any failure to do so could adversely affect the ability to generate revenue and control expenses.</w:t>
      </w:r>
    </w:p>
    <w:p>
      <w:pPr>
        <w:spacing w:after="0" w:line="2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experience negative publicity, we may lose the confidence of automotive lenders and insurance carriers who use or partner with LPP and our business may suffer.</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Reputational risk, or the risk of negative publicity or to public opinion, is inherent to our business. Recently, consumer financial services companies have experienced increased reputational harm as consumers and regulators take issue with certain practices and judgments, including, for example, fair lending, credit reporting accuracy, lending to members of the military, state licensing (for automotive lenders, servicers and money transmitters) and debt collection. Given that our primary customers are automotive lenders in the customer financial services space, any reputational risk associated with our customers is in turn attributable to us. Maintaining a positive reputation is critical to our ability to attract and retain existing and new automotive lenders, insurance carriers, investors and employees. Negative public opinion can arise from many sources, including actual or alleged misconduct, errors or improper business practices by employees, automotive lenders, insurance carriers, automobile dealers, outsourced service providers or other counterparties; litigation or regulatory actions; failure by us, automotive lenders, or automobile dealers to meet minimum standards of service and quality; inadequate protection of consumer information; failure of automotive lenders to adhere to the terms of their LPP agreements or other contractual arrangements or standards; failure of insurance carriers and our subsidiary, IAS, to satisfactorily administer claims; compliance failures; and media coverage, whether accurate or not. Negative public opinion can diminish the value of our brand and adversely affect our ability to attract and retain automotive lenders and insurance carriers as a result of which our operations may be materially harmed and we could be exposed to litigation and regulatory action.</w:t>
      </w: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Privacy concerns or security breaches relating to LPP could result in economic loss, damage our reputation, deter users from using our products, and expose us to legal penalties and liability.</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Through the use of LPP, we gather and store personally identifiable information on consumers such as social security numbers, names and addresses. A cybersecurity breach where this information is stolen or made public would result in negative publicity and additional costs to mitigate the damage to customers. While we have taken reasonable steps to protect such data, techniques used to gain unauthorized access to data and systems, disable or degrade service, or sabotage systems, are constantly evolving, and we may be unable to anticipate such techniques or implement adequate preventative measures to avoid unauthorized access or other adverse impacts to such data or our systems.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LPP is vulnerable to software bugs, computer viruses, internet worms, break-ins, phishing attacks, attempts to overload servers with denial-of-service, or other attacks or similar disruptions, any of which could lead to system interruptions, delays, or shutdowns, causing loss of critical data or the unauthorized access of data. Computer malware, viruses, and computer hacking and phishing attacks have become more prevalent in our industry. Functions that facilitate interactivity with other internet platforms could increase the scope of access of hackers to user accounts. Though it is difficult to determine what, if any, harm</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6" w:name="page17"/>
    <w:bookmarkEnd w:id="16"/>
    <w:p>
      <w:pPr>
        <w:jc w:val="both"/>
        <w:spacing w:after="0" w:line="255" w:lineRule="auto"/>
        <w:rPr>
          <w:sz w:val="20"/>
          <w:szCs w:val="20"/>
          <w:color w:val="auto"/>
        </w:rPr>
      </w:pPr>
      <w:r>
        <w:rPr>
          <w:rFonts w:ascii="Arial" w:cs="Arial" w:eastAsia="Arial" w:hAnsi="Arial"/>
          <w:sz w:val="18"/>
          <w:szCs w:val="18"/>
          <w:color w:val="auto"/>
        </w:rPr>
        <w:t>may directly result from any specific interruption or attack, any failure to maintain performance, reliability, security and availability of our products to the satisfaction of our customers and their consumers may harm our reputation and our ability to retain existing customers. Although we have systems and processes that are designed to protect data, prevent data loss, disable undesirable accounts and activities and prevent or detect security breaches, we cannot assure that such measures will provide absolute security. If an actual or perceived breach of security occurs to our systems or a third party’s systems, we could also be required to expend significant resources to mitigate the breach of security and to address matters related to any such breach, including notifying users or regulators.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market interest rates have and could continue to have an adverse effect on our business.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fixed interest rates charged on the loans that automotive lenders originate are calculated based upon market benchmarks at the time of origination. Market benchmarks typically rise when the U.S. Federal Reserve raises the federal funds rate, and the U.S. Federal Reserve is widely expected to continue raising the federal funds rate in 2023 to combat inflation. Any such increases in the market benchmark would result in increases in the interest rates on new loans. Increased interest rates have and may continue to adversely impact the spending levels of consumers and their ability and willingness to borrow money. Higher interest rates often lead to higher rates charged to the consumer, which could negatively impact the ability of automotive lenders to generate volume and in turn, our ability to generate revenues on loans originated using LPP. Higher interest rates may also increase the payment obligations of consumers, which may reduce the ability of consumers to remain current on their obligations to automotive lenders and, therefore, lead to increased delinquencies, defaults, consumer bankruptcies and charge-offs, and decreasing recoveries, all of which could have an adverse effect on our business.</w:t>
      </w: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projections, including guidance, are subject to significant risks, assumptions, estimates and uncertainties. As a result, our projected revenues, market share, expenses and profitability may differ materially from our expectations.</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in a rapidly changing and competitive industry, and our projections will be subject to the risks and assumptions made by management with respect to our industry. Operating results are difficult to forecast because they generally depend on a number of factors, including the competition we face, our ability to attract and retain automotive lenders, the active and effective adoption of LPP by automotive lenders in originating loans to near-prime and non-prime borrowers, our profit share assumptions and general industry trends. Additionally, as described herein, our revenue is impacted, to a significant extent, by the general economy and the financial performance of automotive lenders. Our business may be affected by reductions in consumer spending from time to time as a result of a number of factors which may be difficult to predict. This may result in decreased revenue levels, and we may be unable to adopt measures in a timely manner to compensate for any unexpected shortfall in income. This inability could cause our operating results in a given quarter to be higher or lower than expected. If actual results differ from our estimates, analysts may negatively react, and our stock price could be materially and adversely impacted.</w:t>
      </w:r>
    </w:p>
    <w:p>
      <w:pPr>
        <w:spacing w:after="0" w:line="3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vendor relationships subject us to a variety of risks, and the failure of third parties to comply with legal or regulatory requirements or to provide various services that are important to our operations could have an adverse effect on our business.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significant vendors that, among other things, provide us with financial, technology, insurance and other services to support our loan protection services, including access to credit reports and information. Under various legal theories and contractual requirements, companies may be held responsible for the actions of their subcontractors. Accordingly, we could be adversely impacted to the extent that our vendors fail to comply with the legal requirements applicable to the particular products or services being offered.</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some cases, third-party vendors, including resellers and aggregators, are the sole source, or one of a limited number of sources, of the services they provide to us. Certain of our vendor agreements are terminable on little or no notice, and if current vendors were to stop providing services to us on acceptable terms, we may be unable to procure alternatives from other vendors in a timely and efficient manner and on acceptable terms (or at all). If any third-party vendor fails to provide the services we require, fails to meet contractual requirements (including compliance with applicable laws and regulations), fails to maintain adequate data privacy and electronic security systems, or suffers a cyber-attack or other security breach, we could be subject to regulatory enforcement actions and suffer economic and reputational harm that could have a material adverse effect on our business. Further, we may incur significant costs to resolve any such disruptions in service, which could adversely affect our business.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b w:val="1"/>
          <w:bCs w:val="1"/>
          <w:i w:val="1"/>
          <w:iCs w:val="1"/>
          <w:color w:val="auto"/>
        </w:rPr>
        <w:t>Litigation, regulatory actions and compliance issues could subject us to significant fines, penalties, judgments, remediation costs and/or requirements resulting in increased expenses.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 is subject to increased risks of litigation and regulatory actions as a result of a number of factors and from various sources, including as a result of the highly regulated nature of the financial services industry, insurance carriers and the focus of state and federal enforcement agencies on the financial services industry and insurance carriers.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are also involved in, or the subject of, reviews, requests for information, investigations and proceedings (both formal and informal) by state and federal governmental agencies, including insurance regulators and the Department of Insurance of many states, regarding our business activities and our qualifications to conduct business in certain jurisdictions, which could subject us to significant fines, penalties, obligations to change business practices and other requirements resulting in increased expenses and diminished earnings. Our involvement in any such matter could also cause significant harm to our reputation and divert management attention from business operations, even if the matters are ultimately determined in our favor. Moreover, any settlement, or any consent order or adverse judgment in connection with any formal or informal proceeding or investigation by a government agency, may prompt litigation or additional investigations or proceedings as other litigants or other government agencies begin independent reviews of the same activities.</w:t>
      </w:r>
    </w:p>
    <w:p>
      <w:pPr>
        <w:spacing w:after="0" w:line="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a number of participants in the consumer finance industry have been the subject of punitive class action lawsuits; state attorney general actions and other state regulatory actions; federal regulatory enforcement actions, including actions relating to alleged unfair, deceptive or abusive acts or practices; violations of state licensing and lending laws, including state usury laws; actions alleging discrimination on the basis of race, ethnicity, gender or other prohibited bases; and allegations of noncompliance with various state and federal laws and regulations relating to originating and servicing consumer finance loans. The current regulatory environment, increased regulatory compliance efforts and enhanced regulatory enforcement have resulted in significant operational and compliance costs and may prevent us from providing certain products and services. There is no assurance that these regulatory matters or other factors will not, in the future, affect how we conduct business and, in turn, have a material adverse effect on our business. In particular, legal proceedings brought under state consumer protection statutes or under several of the various federal consumer financial services statutes may result in a separate fine for each violation of the statute, which, particularly in the case of class action lawsuits, could result in damages substantially in excess of the amounts we earned from the underlying activities. Similar risks exist for insurance producing and claims administration services, which are highly regulated.</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from time to time, through our operational and compliance controls, we identify compliance issues that require us to make operational changes and, depending on the nature of the issue, result in financial remediation to impacted customers. These self-identified issues and voluntary remediation payments could be significant, depending on the issue and the number of customers impacted, and also could generate litigation or regulatory investigations that subject us to additional risk.</w:t>
      </w: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Fraudulent activity could negatively impact our business and could cause automotive lenders to be less willing to originate loans or insurance carriers to be less willing to underwrite policies through the use of LPP.</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Fraud is prevalent in the financial services industry and is likely to increase as perpetrators become more sophisticated. We are subject to the risk of fraudulent activity with respect to the underwriting policies of insurance carriers, automotive lenders, their customers and third parties handling customer information. Our resources, technologies and fraud prevention tools may be insufficient to accurately detect and prevent fraud. The level of our fraud charge-offs could increase and results of operations could be materially and adversely affected if fraudulent activity were to significantly increase. High profile fraudulent activity could also negatively impact our brand and reputation, which could negatively impact the use of our services and products. In addition, significant increases in fraudulent activity could also lead to regulatory intervention, which could increase our costs and also negatively impact our business.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Cyber-attacks and other security breaches could have an adverse effect on our business.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normal course of our business, we collect, process and retain sensitive and confidential information regarding automotive lenders, insurance carriers and consumers. We also have arrangements with certain third-party service providers that require us to share consumer information. Although we devote significant resources and management focus to ensuring the security, confidentiality and integrity of our systems through information security and business continuity programs, our facilities and systems, and those of automotive lenders, insurance carriers and third-party service providers, are vulnerable to external or internal security breaches, acts of vandalism, computer viruses, misplaced or lost data, programming or human errors, and other similar events. We, automotive lenders, insurance carriers and third-party service providers have experienced all of these events to varying degrees in the past and expect to continue to experience them in the future. We also face security threats from malicious third parties that could obtain unauthorized access to our systems and networks, and we anticipate these threats will continue to grow in scope and complexity over time. These events could interrupt our business or operations, result in</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18" w:name="page19"/>
    <w:bookmarkEnd w:id="18"/>
    <w:p>
      <w:pPr>
        <w:jc w:val="both"/>
        <w:ind w:right="20"/>
        <w:spacing w:after="0" w:line="263" w:lineRule="auto"/>
        <w:rPr>
          <w:sz w:val="20"/>
          <w:szCs w:val="20"/>
          <w:color w:val="auto"/>
        </w:rPr>
      </w:pPr>
      <w:r>
        <w:rPr>
          <w:rFonts w:ascii="Arial" w:cs="Arial" w:eastAsia="Arial" w:hAnsi="Arial"/>
          <w:sz w:val="18"/>
          <w:szCs w:val="18"/>
          <w:color w:val="auto"/>
        </w:rPr>
        <w:t>significant legal and financial exposure, supervisory liability, damage to our reputation and a loss of confidence in the security, confidentiality and integrity of our systems, products and services. Although the impact to date from these events has not had a material adverse effect on us, no assurance is given that this will be the case in the future.</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Information security risks in the financial services industry have increased recently, in part because of evolving technologies, the use of the internet and telecommunications technologies (including mobile devices) to conduct financial and other business transactions and the increased sophistication and activities of organized criminals, perpetrators of fraud, hackers, terrorists and others. In addition to cyber-attacks and other security breaches involving the theft of sensitive and confidential information, hackers recently have engaged in attacks that are designed to disrupt key business services, such as consumer-facing websites. We and automotive lenders may not be able to anticipate or implement effective preventive measures against all security breaches of these types, especially because the techniques used change frequently and because attacks can originate from a wide variety of sources. We employ prevention, detection and response mechanisms designed to prevent, detect, contain and mitigate security incidents. Nonetheless, prevention and early detection efforts may be thwarted by sophisticated attacks and malware designed to avoid prevention and detection. We also may fail to detect the existence of a successful security breach related to the information of automotive lenders, insurance carriers and consumers that we retain as part of our business and may be unable to prevent unauthorized access to that information.</w:t>
      </w:r>
    </w:p>
    <w:p>
      <w:pPr>
        <w:spacing w:after="0" w:line="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also face risks related to cyber-attacks and other security breaches that typically involve the transmission of sensitive information regarding borrowers through various third parties, including automotive lenders, insurance carriers and data processors. Some of these parties have in the past been the target of security breaches and cyber-attacks. Because we do not control these third parties or directly oversee or manage the security of their systems, future security breaches or cyber-attacks affecting any of these third parties could impact us through no fault of our own, and in some cases, we may have exposure and suffer losses for breaches or attacks relating to them. While we regularly conduct security assessments of significant third-party service providers, no assurance is given that our third-party information security protocols are sufficient to withstand a cyber-attack or other security breach.</w:t>
      </w: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access by unauthorized persons to, or the improper disclosure by us of, confidential information regarding consumers, LPP customers or our proprietary information, software, methodologies and business secrets could interrupt our business or operations, result in significant legal and financial exposure, supervisory liability, damage to our reputation or a loss of confidence in the security, confidentiality and integrity of our systems, products and services, all of which could have a material adverse impact on our business. In addition, there have been a number of well-publicized attacks or breaches affecting companies in the financial services industry that have heightened concern by consumers, which could also intensify regulatory focus, cause users to lose trust in the security of the industry in general and result in reduced use of our services and increased costs, all of which could also have a material adverse effect on our business.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in the operation of our computer systems and third-party data centers could have an adverse effect on our business.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ability to deliver products and services to automotive lenders, service loans made by automotive lenders and otherwise operate our business and comply with applicable laws depends on the efficient and uninterrupted operation and availability of our computer systems and third-party data centers, as well as those of automotive lenders and third-party service providers.</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These computer systems and third-party data centers may encounter service interruptions at any time due to system or software failure, natural disasters, severe weather conditions, pandemics, terrorist attacks, cyber-attacks or other events. Any such catastrophes could have a negative effect on our business and technology infrastructure (including our computer network systems), on automotive lenders and insurance carriers and on consumers. These events also could impair the ability of third parties to provide critical services to us. All of these adverse effects of catastrophic events could result in a decrease in the use of our solution and payments to us, which could have a material adverse effect on our business.</w:t>
      </w:r>
    </w:p>
    <w:p>
      <w:pPr>
        <w:spacing w:after="0" w:line="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the implementation of technology changes and upgrades to maintain current and integrate new systems may cause service interruptions, transaction processing errors or system conversion delays and may cause us to fail to comply with applicable laws, all of which could have a material adverse effect on our business. We expect that new technologies and business processes applicable to the consumer financial services industry will continue to emerge and that these new technologies and business processes may be more advanced than those we currently use. There is no assurance that we will be able to successfully adopt new technology as critical systems and applications become obsolete and more advanced ones become available. A failure to maintain and/or improve current technology and business processes could cause disruptions in our operations or cause our solution to be less competitive, all of which could have a material adverse effect on our business.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9" w:name="page20"/>
    <w:bookmarkEnd w:id="1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the underwriting models we use contain errors or are otherwise ineffective, our reputation and relationships with automotive lenders and insurance carriers could be harmed.</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ability to attract automotive lenders to LPP is significantly dependent on our ability to effectively evaluate a consumer’s credit profile and likelihood of default and potential loss in accordance with automotive lenders’ and insurance carriers’ underwriting policies. Our business depends significantly on the accuracy and success of our underwriting model. To conduct this evaluation, we use proprietary credit decisioning and scoring models. If any of the credit decisioning and scoring models we use contain programming or other errors, is ineffective or the data provided by consumers or third parties is incorrect or stale, or if we are unable to obtain accurate data from consumers or third parties (such as credit reporting agencies), our loan pricing and approval process could be negatively affected, resulting in mispriced or misclassified loans, incorrect approvals or denials of loans. This could damage our reputation and relationships with automotive lenders and insurance carriers, which could have a material adverse effect on our business.</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the accuracy and completeness of information about consumers, and any misrepresented information could adversely affect our business.</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evaluating loan applicants, we rely on information furnished to us by or on behalf of consumers, including credit, identification, employment and other relevant information. Some of the information regarding consumers provided to us is used in our proprietary credit decisioning and scoring models, which we use to determine whether an application meets the applicable underwriting criteria. We rely on the accuracy and completeness of that information.</w:t>
      </w:r>
    </w:p>
    <w:p>
      <w:pPr>
        <w:spacing w:after="0" w:line="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Not all consumer information is independently verified. As a result, we rely on the accuracy and completeness of the information provided by consumers or indirectly by automotive lenders. If any of the information that is considered in the loan review process is inaccurate, whether intentional or not, and such inaccuracy is not detected prior to loan funding, the loan may have a greater risk of default than expected. Additionally, there is a risk that, following the date of the credit report that we obtain and review, a consumer may have defaulted on, or become delinquent in the payment of, a pre-existing debt obligation, taken on additional debt, lost his or her job or other sources of income, or experienced other adverse financial events. Any significant increase in inaccuracies resulting in losses could adversely affect our business.</w:t>
      </w:r>
    </w:p>
    <w:p>
      <w:pPr>
        <w:spacing w:after="0" w:line="2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extensively on models in managing many aspects of our business. Any inaccuracies or errors in our models could have an adverse effect on our business</w:t>
      </w:r>
      <w:r>
        <w:rPr>
          <w:rFonts w:ascii="Arial" w:cs="Arial" w:eastAsia="Arial" w:hAnsi="Arial"/>
          <w:sz w:val="18"/>
          <w:szCs w:val="18"/>
          <w:color w:val="auto"/>
        </w:rPr>
        <w:t>.</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assisting automotive lenders with the design of the products that are offered on LPP, we make assumptions about various matters, including repayment timing and default rates, and then utilize proprietary underwriting modeling to analyze and forecast the performance and profitability of the loans. Our assumptions may be inaccurate and models may not be as predictive as expected for many reasons, including that they often involve matters that are inherently difficult to predict and beyond our control (e.g., macroeconomic conditions) and that they often involve complex interactions between a number of dependent and independent variables and factors. Any significant inaccuracies or errors in assumptions could impact the profitability of the products to automotive lenders, as well as the profitability of our business, and could result in our underestimating potential losses and overstating potential automotive lender returns.</w:t>
      </w:r>
    </w:p>
    <w:p>
      <w:pPr>
        <w:spacing w:after="0" w:line="3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consumer lending industry is highly competitive and is likely to become more competitive, and our inability to compete successfully or maintain or improve our market share and margins could adversely affect our business.</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success depends on our ability to generate usage of LPP. The consumer lending industry is highly competitive and increasingly dynamic as emerging technologies continue to enter the marketplace. Technological advances and heightened e-commerce activities have increased consumers’ accessibility to products and services, which has intensified the desirability of offering loans to consumers through digital-based solutions. We face competition in areas such as compliance capabilities, financing terms, promotional offerings, fees, approval rates, speed and simplicity of loan origination, ease-of-use, marketing expertise, service levels, products and services, technological capabilities and integration, customer service, brand and reputation. Our existing and potential competitors may decide to modify their pricing and business models to compete more directly with our model. Any reduction in usage of LPP, or a reduction in the lifetime profitability of loans under LPP in an effort to attract or retain business, could reduce our revenues and earnings. If we are unable to compete effectively for customer usage, our business could be materially and adversely affected.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b w:val="1"/>
          <w:bCs w:val="1"/>
          <w:i w:val="1"/>
          <w:iCs w:val="1"/>
          <w:color w:val="auto"/>
        </w:rPr>
        <w:t>Because our business is heavily concentrated on consumer lending in the U.S. automobile industry, our results are more susceptible to fluctuations in that market than the results of a more diversified company would be.</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business currently is concentrated on supporting consumer lending in the U.S. automobile industry. As a result, we are more susceptible to fluctuations and risks particular to U.S. consumer credit than a more diversified company would be as well as to factors that may drive the demand for automobiles, such as sales levels of new automobiles and the aging of existing inventory. We are also more susceptible to the risks of increased regulations and legal and other regulatory actions that are targeted at consumer credit and the specific consumer credit products that automotive lenders offer (including promotional financing) in the U.S. automobile industry. Our business concentration in the U.S. could have a material, adverse effect on our business.</w:t>
      </w:r>
    </w:p>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 the future expand to new industry verticals outside of the automotive industry, and failure to comply with applicable regulations, or accurately predict demand or growth, in those new industries could have an adverse effect on our business.</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may in the future further expand into other industry verticals. There is no assurance that we will be able to successfully develop consumer financing products and services for these new industries. Our investment of resources to develop consumer financing products and services for the new industries we enter may either be insufficient or result in expenses that are excessive in light of loans actually originated by lenders in those industries. Additionally, our over 20 years of experience is in the automotive lending industry and therefore, industry participants in new industry verticals may not be receptive to our financing solutions and we may face competitors with more experience and resources. The borrower profile of consumers in new verticals may not be as attractive, in terms of average FICO scores or other attributes, as in current verticals, which may lead to higher levels of delinquencies or defaults than we have historically experienced. Industries change rapidly, and we make no assurance that we will be able to accurately forecast demand (or the lack thereof) for a solution or that those industries will be receptive to our product offerings. Failure to predict demand or growth accurately in new industries could have a material adverse impact on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would suffer if we fail to attract and retain highly skilled employees.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future success will depend on our ability to identify, hire, develop, motivate and retain highly qualified personnel for all areas of our organization, particularly information technology and sales. Trained and experienced personnel are in high demand and are in short supply. Many of the companies with which we compete for experienced employees have greater resources than us and may be able to offer more attractive terms of employment. In addition, we invest significant time and expense in training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which will negatively impact our business.</w:t>
      </w:r>
    </w:p>
    <w:p>
      <w:pPr>
        <w:spacing w:after="0" w:line="2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2022 Credit Agreement that governs our credit facility contains various covenants that could limit our ability to engage in activities that may be in our best long-term interests.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2022 Credit Agreement (as defined hereinafter) provides for credit facilities (“Credit Facilities”) consisting of a senior secured term loan facility of up to $150.0 million along with a senior secured revolving loan facility of up to $150.0 million at any time outstanding. Borrowings under the 2022 Credit Agreement bear interest at a variable rate based on the net secured leverage ratio. Our obligations under the 2022 Credit Agreement are guaranteed by all of our subsidiaries and secured by substantially all of our assets and substantially all of our subsidiaries’ assets, in each case, subject to certain customary exceptions. The Credit Facilities mature on September 9, 2027.</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2022 Credit Agreement contains affirmative and negative covenants customarily applicable to senior secured credit facilities, including covenants that, among other things, will limit or restrict the ability of the loan parties, subject to negotiated exceptions, to incur additional indebtedness and additional liens on their assets, engage in mergers or acquisitions or dispose of assets, pay dividends or make other distributions, voluntarily prepay other indebtedness, enter into transactions with affiliated persons, make investments, and change the nature of their businesses.</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2022 Credit Agreement also contains customary events of default (subject to thresholds and grace periods), including payment default, covenant default, cross default to other material indebtedness, and judgment defaults.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ability to comply with these covenants may be affected by events beyond our control, such as market fluctuations impacting net income. Breaches of these covenants will result in a default under the 2022 Credit Agreement, subject to any applicable cure rights, in which case the administrative agent may accelerate the outstanding term loan.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If such acceleration under the 2022 Credit Agreement occurs, our ability to fund operations could be seriously harmed.</w:t>
      </w: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sufficiently protect our proprietary rights and may encounter disputes from time to time relating to our use of the intellectual property of third parties.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a combination of trademarks, service marks, copyrights, trade secrets, domain names and agreements with employees and third parties to protect our proprietary rights. We have service mark registrations in the U.S. We also own the domain name rights for Openlending.com, Openlending.net, Openlending.us, Dev-openlending.com, Lendersprotection.org, Lendersprotection.us, Lend-pro.org, Lend-pro.us, Lend-pro.net, Lendpro.net, Lendpro.org, Lendpro.us, Lend-pro.com, Lendersprotection.com, Sayyestomoreloans.com, Sayyestomoreloans.net, as well as other words and phrases important to our business. Nonetheless, third parties may challenge, invalidate or circumvent our intellectual property, and our intellectual property may not be sufficient to provide us with a competitive advantage.</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Despite our efforts to protect these rights, unauthorized third parties may attempt to duplicate or copy the proprietary aspects of our technology and processes. Our competitors and other third parties independently may design around or develop similar technology or otherwise duplicate our services or products such that we could not assert our intellectual property rights against them. In addition, our contractual arrangements may not effectively prevent disclosure of our intellectual property and confidential and proprietary information or provide an adequate remedy in the event of an unauthorized disclosure. These measures may not prevent misappropriation or infringement of our intellectual property or proprietary information and the resulting loss of competitive advantage, and we may be required to litigate to protect our intellectual property and proprietary information from misappropriation or infringement by others, which is expensive and could cause a diversion of resources and may not be successful.</w:t>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also may encounter disputes from time to time concerning intellectual property rights of others, and we may not prevail in these disputes. Third parties may raise claims against us alleging that we, our consultants or other third parties retained or indemnified by us, infringed on their intellectual property rights. Some third-party intellectual property rights may be extremely broad, and it may not be possible for us to conduct operations in such a way as to avoid all alleged violations of such intellectual property rights. Given the complex, rapidly changing and competitive technological and business environment in which we operate, and the potential risks and uncertainties of intellectual property-related litigation, an assertion of an infringement claim against us may cause us to spend significant amounts to defend the claim (even if we ultimately prevail), pay significant monetary damages, lose significant revenues, be prohibited from using the relevant systems, processes, technologies or other intellectual property (temporarily or permanently), cease offering certain products or services, or incur significant license, royalty or technology development expenses.</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and employees. In addition, although in some cases a third party may have agreed to indemnify us for such costs, such indemnifying party may refuse or be unable to uphold our contractual obligations. In other cases, insurance may not cover potential claims of this type adequately or at all, and we may be required to pay monetary damages, which may be significant.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processes and procedures may not be effective.</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risk management processes and procedures seek to appropriately balance risk and return and mitigate risks. We have established processes and procedures intended to identify, measure, monitor and control the types of risk to which we and automotive lenders are subject, including credit risk, market risk, liquidity risk, strategic risk and operational risk. Credit risk is the risk of loss that arises when an obligor fails to meet the terms of an obligation. Market risk is the risk of loss due to changes in external market factors such as interest rates. Liquidity risk is the risk that financial conditions or overall safety and soundness are adversely affected by an inability, or perceived inability, to meet obligations and support business growth.</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Strategic risk is the risk from changes in the business environment, improper implementation of decisions or inadequate responsiveness to changes in the business environment. Operational risk is the risk of loss arising from inadequate or failed processes, people or systems, external events (e.g., natural disasters), compliance, reputational or legal matters and includes those risks as they relate directly to us as well as to third parties with whom we contract or otherwise do business.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of our risks depends, in part, upon the use of analytical and forecasting models. If these models are ineffective at predicting future losses or are otherwise inadequate, we may incur unexpected losses or otherwise be adversely affected. In addition, the information we use in managing credit and other risks may be inaccurate or incomplete as a result of error or fraud, both of which may be difficult to detect and avoid. There also may be risks that exist, or that develop in the future, that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2" w:name="page23"/>
    <w:bookmarkEnd w:id="22"/>
    <w:p>
      <w:pPr>
        <w:jc w:val="both"/>
        <w:spacing w:after="0" w:line="263" w:lineRule="auto"/>
        <w:rPr>
          <w:sz w:val="20"/>
          <w:szCs w:val="20"/>
          <w:color w:val="auto"/>
        </w:rPr>
      </w:pPr>
      <w:r>
        <w:rPr>
          <w:rFonts w:ascii="Arial" w:cs="Arial" w:eastAsia="Arial" w:hAnsi="Arial"/>
          <w:sz w:val="18"/>
          <w:szCs w:val="18"/>
          <w:color w:val="auto"/>
        </w:rPr>
        <w:t>we have not appropriately anticipated, identified or mitigated, including when processes are changed or new products and services are introduced. If our risk management framework does not effectively identify and control risks, we could suffer unexpected losses or be adversely affected, which could have a material adverse effect on our business.</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Some aspects of our platform include open source software, and any failure to comply with the terms of one or more of these open source licenses could negatively affect our business.</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Aspects of our platform include software covered by open source licenses. The terms of various open source licenses have not been interpreted by U.S. courts, and there is a risk that such licenses could be construed in a manner that imposes unanticipated conditions or restrictions on our platform. If portions of our proprietary software are determined to be subject to an open source license, we could be required to publicly release the affected portions of our source code, re-engineer all or a portion of our technologies or otherwise be limited in the licensing of technologies, each of which could reduce or eliminate the value of our technologies and loan products. In addition to risks related to license requirements, usage of open source software can lead to greater risks than use of third-party commercial software because open source licensors generally do not provide warranties or controls on the origin of the software. Many of the risks associated with the use of open source software cannot be eliminated and could adversely affect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To the extent that we seek to grow through future acquisitions, or other strategic investments or alliances, we may not be able to do so effectively.</w:t>
      </w:r>
    </w:p>
    <w:p>
      <w:pPr>
        <w:spacing w:after="0" w:line="14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may in the future seek to grow our business by exploring potential acquisitions or other strategic investments or alliances. We may not be successful in identifying businesses or opportunities that meet our acquisition or expansion criteria. In addition, even if a potential acquisition target or other strategic investment is identified, we may not be successful in completing such acquisition or integrating such new business or other investment. We may face significant competition for acquisition and other strategic investment opportunities from other well-capitalized companies, many of which have greater financial resources and greater access to debt and equity capital to secure and complete acquisitions or other strategic investments, than us. As a result of such competition, we may be unable to acquire certain assets or businesses, or take advantage of other strategic investment opportunities that we deem attractive; the purchase price for a given strategic opportunity may be significantly elevated; or certain other terms or circumstances may be substantially more onerous. Any delay or failure on our part to identify, negotiate, finance on favorable terms, consummate and integrate any such acquisition, or other strategic investment opportunity could impede our growth.</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is no assurance that we will be able to manage expanding operations, including from acquisitions, investments or alliances, effectively or that we will be able to continue to grow, and any failure to do so could adversely affect our ability to generate revenue and control our expenses. Furthermore, we may be responsible for any legacy liabilities of businesses we acquire or be subject to additional liability in connection with other strategic investments. The existence or amount of these liabilities may not be known at the time of acquisition, or other strategic investment, and may have a material adverse effect on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global economic impacts of Russia’s invasion of Ukraine could adversely affect our business, financial condition or operating results.</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Russia’s invasion of Ukraine and the resulting economic sanctions imposed by the international community have impacted the global economy, particularly with respect to shortages in materials and increased costs for transportation and energy. These events have disrupted and may continue to disrupt the supply chains of automakers and their captive finance companies, which may lead to fewer vehicles being produced, fewer automotive loans overall and diminished demand for LPP. The invasion of Ukraine by Russia also could lead to other supply chain disruptions, increased inflationary pressures and volatility in global markets and industries that could negatively impact our operations. Furthermore, the potential for retaliatory acts of cyberwarfare from Russia against U.S. companies in response to increasing sanctions on Russia could result in increased cyber-attacks against us. The impact of any one or more of these or other factors could adversely affect our business, financial condition or operating results and the effects of the ongoing conflict in Ukraine could heighten many of our known risks described in this “</w:t>
      </w:r>
      <w:r>
        <w:rPr>
          <w:rFonts w:ascii="Arial" w:cs="Arial" w:eastAsia="Arial" w:hAnsi="Arial"/>
          <w:sz w:val="17"/>
          <w:szCs w:val="17"/>
          <w:i w:val="1"/>
          <w:iCs w:val="1"/>
          <w:color w:val="auto"/>
        </w:rPr>
        <w:t>Risk Factors</w:t>
      </w:r>
      <w:r>
        <w:rPr>
          <w:rFonts w:ascii="Arial" w:cs="Arial" w:eastAsia="Arial" w:hAnsi="Arial"/>
          <w:sz w:val="17"/>
          <w:szCs w:val="17"/>
          <w:color w:val="auto"/>
        </w:rPr>
        <w:t>” section.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federal and state consumer protection laws.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administration of LPP, we must comply with various regulatory regimes, including those applicable to consumer credit transactions, various aspects of which are untested as applied to our business model. Insurance producing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3" w:name="page24"/>
    <w:bookmarkEnd w:id="23"/>
    <w:p>
      <w:pPr>
        <w:jc w:val="both"/>
        <w:spacing w:after="0" w:line="273" w:lineRule="auto"/>
        <w:rPr>
          <w:sz w:val="20"/>
          <w:szCs w:val="20"/>
          <w:color w:val="auto"/>
        </w:rPr>
      </w:pPr>
      <w:r>
        <w:rPr>
          <w:rFonts w:ascii="Arial" w:cs="Arial" w:eastAsia="Arial" w:hAnsi="Arial"/>
          <w:sz w:val="17"/>
          <w:szCs w:val="17"/>
          <w:color w:val="auto"/>
        </w:rPr>
        <w:t xml:space="preserve">claims administration services subject us to state regulation on a 50-state basis. The complex regulatory environment of the credit and insurance industries are subject to constant change and modification. While changes to statutes and promulgating new regulations may take a substantial amount of time, issuing regulatory guidance with the force of law in the form of opinions, bulletins, and notices can occur quickly. Also, consumer credit and insurance regulators often initiate inquiries into market participants, which can lead to investigations and, ultimately, enforcement actions. As a result, we are subject to a constantly evolving regulatory environment that is difficult to predict, which may affect our business. See “Part I, Item 1— </w:t>
      </w:r>
      <w:r>
        <w:rPr>
          <w:rFonts w:ascii="Arial" w:cs="Arial" w:eastAsia="Arial" w:hAnsi="Arial"/>
          <w:sz w:val="17"/>
          <w:szCs w:val="17"/>
          <w:i w:val="1"/>
          <w:iCs w:val="1"/>
          <w:color w:val="auto"/>
        </w:rPr>
        <w:t>Business—Government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Regulation” </w:t>
      </w:r>
      <w:r>
        <w:rPr>
          <w:rFonts w:ascii="Arial" w:cs="Arial" w:eastAsia="Arial" w:hAnsi="Arial"/>
          <w:sz w:val="17"/>
          <w:szCs w:val="17"/>
          <w:color w:val="auto"/>
        </w:rPr>
        <w:t>in this Annual Report for a further discussion of the laws and regulations to which we are subject.</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have developed policies and procedures designed to assist in compliance with these laws and regulations, no assurance is given that our compliance policies and procedures will be effective. Failure to comply with these laws and with regulatory requirements applicable to our business could subject us to damages, revocation of licenses, class action lawsuits, administrative enforcement actions, and civil and criminal liability, which may harm our business.</w:t>
      </w:r>
    </w:p>
    <w:p>
      <w:pPr>
        <w:spacing w:after="0" w:line="2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industry is highly regulated and is undergoing regulatory transformation, which results in inherent uncertainty. Changing federal, state, and local laws, as well as changing regulatory enforcement policies and priorities, may negatively impact our business.</w:t>
      </w:r>
    </w:p>
    <w:p>
      <w:pPr>
        <w:spacing w:after="0" w:line="3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connection with our administration of LPP, we are subject to extensive regulation, supervision and examination under U.S. federal and state laws and regulations. We are required to comply with numerous federal, state, and local laws and regulations that regulate, among other things, the manner in which we administer LPP, the terms of the loans that automotive lenders originate, the products of insurance carriers, production of those products, insurance claims administration, and the fees that we may charge. Any failure to comply with any of these laws or regulations could subject us to lawsuits or governmental actions and/or damage our reputation, which could materially and adversely affect our business. Regulators have broad discretion with respect to the interpretation, implementation, and enforcement of these laws and regulations, including through enforcement actions that could subject us to civil money penalties, customer remediation, increased compliance costs, and limits or prohibitions on our ability to offer certain products or services or to engage in certain activities. In addition, to the extent that we undertake actions requiring regulatory approval or non-objection, regulators may make their approval or non-objection subject to conditions or restrictions that could have a material adverse effect on our business. Moreover, any competitors subject to different, or in some cases less restrictive, legislative or regulatory regimes may have or obtain a competitive advantage over us.</w:t>
      </w:r>
    </w:p>
    <w:p>
      <w:pPr>
        <w:spacing w:after="0" w:line="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federal, state, and local governments and regulatory agencies have proposed or enacted numerous new laws, regulations, and rules related to loans. Federal and state consumer credit and insurance regulators are also enforcing existing laws, regulations, and rules more aggressively and enhancing their supervisory expectations regarding the management of legal and regulatory compliance risks. Consumer finance and insurance regulation is constantly changing, and new laws or regulations, or new interpretations of existing laws or regulations, could have a material adverse impact on our ability to operate as currently intended.</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These regulatory changes and uncertainties make our business planning more difficult and could result in changes to our business model and potentially adversely impact results of operations. New laws or regulations also require us to incur significant expenses to ensure compliance. As compared to our competitors, we could be subject to more stringent state or local regulations or could incur marginally greater compliance costs as a result of regulatory changes. In addition, our failure to comply (or to ensure that our agents and third-party service providers comply) with these laws or regulations may result in costly litigation or enforcement actions, the penalties for which could include: revocation of licenses; fines and other monetary penalties; civil and criminal liability; substantially reduced payments by borrowers; modification of the original terms of loans, permanent forgiveness of debt, or inability to, directly or indirectly, collect all or a part of the principal of or interest on loans; and increased purchases of receivables underlying loans originated by automotive lenders and indemnification claims.</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Proposals to change the statutes affecting financial services companies are frequently introduced in Congress and state legislatures that, if enacted, may affect our operating environment in substantial and unpredictable ways. In addition, numerous federal and state regulators have the authority to promulgate or change regulations that could have a similar effect on our operating environment. We cannot determine with any degree of certainty whether any such legislative or regulatory proposals will be enacted and, if enacted, the ultimate impact that any such potential legislation or implementing regulations, or any such potential regulatory actions by federal or state regulators, would have upon our business.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state regulation, although we seek to comply with applicable state insurance, insurance brokering, insurance agency regulations, third-party administration company statutes and similar statutes in all U.S. jurisdictions, and with licensing and other requirements that we believe may be applicable to us, if we are found to not have complied with applicable laws, we could lose one or more licenses or authorizations or face other sanctions or penalties or be required to obtain a license in one or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more such jurisdictions, which may have an adverse effect on our ability to make LPP available to borrowers in particular states and, thus, adversely impact our business.</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also subject to potential enforcement and other actions that may be brought by state attorneys general or other state enforcement authorities and other governmental agencies. Any such actions could subject us to civil money penalties and fines, customer remediation, and increased compliance costs, damage our reputation and brand and limit or prohibit our ability to offer certain products and services or engage in certain business practices.</w:t>
      </w:r>
    </w:p>
    <w:p>
      <w:pPr>
        <w:spacing w:after="0" w:line="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New laws, regulations, policy or changes in enforcement of existing laws or regulations applicable to our business, or reexamination of current practices, could adversely impact our profitability, limit our ability to continue existing or pursue new business activities, require us to change certain of our business practices or alter our relationships with LPP customers, affect retention of key personnel, or expose us to additional costs (including increased compliance costs and/or customer remediation). These changes also may require us to invest significant resources, and devote significant management attention, to make any necessary changes and could adversely affect our business.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highly regulated environment in which automotive lenders and insurance carriers operate could have an adverse effect on our business.</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Automotive lenders and insurance carriers are subject to federal and/or state supervision and regulation. Federal regulation of the banking or insurance industries, along with tax and accounting laws, regulations, rules, and standards, may limit their operations significantly and control the methods by which they conduct business. In addition, compliance with laws and regulations can be difficult and costly, and changes to laws and regulations can impose additional compliance requirements. For example, the Dodd-Frank Act imposes significant regulatory and compliance obligations on financial institutions. Regulatory requirements affect automotive lenders’ lending and investment practices and insurance carriers’ offerings, among other aspects of their businesses, and restrict transactions between us and automotive lenders and insurance carriers. These requirements may constrain the operations of automotive lenders and insurance carriers, and the adoption of new laws and changes to, or repeal of, existing laws may have a further impact on our business.</w:t>
      </w:r>
    </w:p>
    <w:p>
      <w:pPr>
        <w:spacing w:after="0" w:line="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choosing whether and how to conduct business with us, current and prospective automotive lenders and insurance carriers can be expected to take into account the legal, regulatory, and supervisory regimes that apply to them, including potential changes in the application or interpretation of regulatory standards, licensing requirements, or supervisory expectations. Regulators may elect to alter standards or the interpretation of the standards used to measure regulatory compliance or to determine the adequacy of liquidity, certain risk management or other operational practices for financial services companies in a manner that impacts automotive lenders or insurance carriers. Furthermore, the regulatory agencies have extremely broad discretion in their interpretation of the regulations and laws and their interpretation of the quality of automotive lenders’ loan portfolios and other assets. If any regulatory agency’s assessment of the quality of automotive lenders’ assets, operations, lending practices, investment practices or other aspects of their business changes, or those with respect to insurance carriers, it may materially reduce automotive lenders’ or insurance carriers’ earnings, capital ratios and share price in such a way that affects our business.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Bank holding companies, credit unions, financial institutions, automobile lenders, and insurance carriers and producers are extensively regulated and currently face an uncertain regulatory environment. Applicable state and federal laws, regulations and interpretations, including licensing laws and regulations, and enforcement policies and accounting principles have been subject to significant changes in recent years, and may be subject to significant future changes. We cannot predict with any degree of certainty the substance or effect of pending or future legislation or regulation or the application of laws and regulations to automotive lenders and insurance carriers. Future changes may have a material adverse effect on automotive lenders or insurance carriers and, therefore, on us.</w:t>
      </w:r>
    </w:p>
    <w:p>
      <w:pPr>
        <w:spacing w:after="0" w:line="3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subject to regulatory examinations and investigations and may incur fines, penalties and increased costs that could negatively impact our business.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Federal and state agencies have broad enforcement powers over us, including powers to investigate our business practices and broad discretion to deem particular practices unfair, deceptive, abusive or otherwise not in accordance with the law. The continued focus of regulators on the consumer financial services industry has resulted, and could continue to result, in new enforcement actions that could, directly or indirectly, affect the manner in which we conduct our business and increase the costs of defending and settling any such matters, which could negatively impact our business.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 There is no assurance that any future settlements will not have a material adverse effect on our business.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5" w:name="page26"/>
    <w:bookmarkEnd w:id="25"/>
    <w:p>
      <w:pPr>
        <w:jc w:val="both"/>
        <w:spacing w:after="0" w:line="275" w:lineRule="auto"/>
        <w:rPr>
          <w:sz w:val="20"/>
          <w:szCs w:val="20"/>
          <w:color w:val="auto"/>
        </w:rPr>
      </w:pPr>
      <w:r>
        <w:rPr>
          <w:rFonts w:ascii="Arial" w:cs="Arial" w:eastAsia="Arial" w:hAnsi="Arial"/>
          <w:sz w:val="17"/>
          <w:szCs w:val="17"/>
          <w:color w:val="auto"/>
        </w:rPr>
        <w:t>In addition, the laws and regulations applicable to us are subject to administrative or judicial interpretation. Some of these laws and regulations have been enacted only recently and may not yet have been interpreted or may be interpreted infrequently. As a result of infrequent or sparse interpretations, ambiguities in these laws and regulations may create uncertainty with respect to what type of conduct is permitted or restricted under such laws and regulations. Any ambiguity under a law or regulation to which we are subject may lead to regulatory investigations, governmental enforcement actions and private causes of action, such as class action lawsuits, with respect to our compliance with such laws or regulations.</w:t>
      </w:r>
    </w:p>
    <w:p>
      <w:pPr>
        <w:spacing w:after="0" w:line="28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contours of the Dodd-Frank UDAAP standard remain uncertain, and there is a risk that certain features of our business could be deemed to be a UDAAP.</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Act prohibits UDAAP and authorizes the Consumer Financial Protection Bureau (“CFPB”) to enforce that prohibition. The CFPB has filed a large number of UDAAP enforcement actions against consumer lenders for practices that do not appear to violate other consumer finance statutes. There is a risk that the CFPB could determine that certain features of automotive lender loans are unfair, deceptive or abusive, which could have a material adverse effect on our business.</w:t>
      </w: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Regulations relating to privacy, information security, and data protection could increase our costs, affect or limit how we collect and use personal information, and adversely affect our business opportunities.</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subject to various privacy, information security and data protection laws, including requirements concerning security breach notification, and our business could be negatively impacted by them. For example, in connection with our administration of LPP, we are subject to the GLBA and implementing regulations and guidance. Among other things, the GLBA (i) imposes certain limitations on the ability to share consumers’ nonpublic personal information with non-affiliated third parties and (ii) requires certain disclosures to consumers about their information collection, sharing and security practices and their right to “opt out” of the institution’s disclosure of their personal financial information to non-affiliated third parties (with certain exceptions).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legislators and/or regulators are increasingly adopting or revising privacy, information security and data protection laws that could have a significant impact on our current and planned privacy, data protection and information security-related practices; our collection, use, sharing, retention and safeguarding of consumer and/or employee information; and some of our current or planned business activities. This also could increase our costs of compliance and business operations and could reduce income from certain business initiatives.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Compliance with current or future privacy, information security and data protection laws (including those regarding security breach notification) affecting customer and/or employee data to which we are subject could result in higher compliance and technology costs and could restrict our ability to provide certain products and services (such as products or services that involve sharing information with third parties or storing sensitive credit card information), which could materially and adversely affect our profitability. Additionally, regulators could attempt to assert authority over our business in the area of privacy, information security and data protection. If our vendors also become subject to laws and regulations in the more stringent and expansive jurisdictions, this could result in increasing costs on our business.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Privacy requirements, including notice and opt-out requirements, under the GLBA and FCRA are enforced by the Federal Trade Commission and by the CFPB through UDAAP and are a standard component of CFPB examinations. State entities also may initiate actions for alleged violations of privacy or security requirements under state law. Our failure to comply with privacy, information security and data protection laws could result in potentially significant regulatory investigations and government actions, litigation, fines or sanctions; consumer, automotive lender or merchant actions; and damage to our reputation and brand, all of which could have a material adverse effect on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were found to be operating without having obtained necessary state or local licenses, it could adversely affect our business.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Certain states have adopted laws regulating and requiring licensing by parties that engage in certain activity regarding consumer finance and insurance transactions, including facilitating and assisting such transactions in certain circumstances. Furthermore, certain states and localities have also adopted laws requiring licensing for consumer debt collection or servicing. While we believe we have obtained all necessary licenses, the application of some consumer finance or insurance producer and claims administration licensing laws to LPP is unclear. If we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through LPP could be rendered void or unenforceable in whole or in part, any of which could have a material adverse effect on our business.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We may in the future be subject to federal or state regulatory inquiries regarding our business.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From time to time, in the normal course of our business, we may receive or be subject to, inquiries or investigations by state and federal regulatory agencies and bodies, such as the CFPB, state Attorneys General, state financial regulatory agencies, and other state or federal agencies or bodies regarding LPP, including the origination and servicing of consumer loans, practices by merchants or other third parties, production of insurance policies, administration of insurance claims and licensing, and registration requirements. For example, in the future, we may enter into regulatory agreements with state agencies regarding issues including automotive lender conduct and oversight and loan pricing. We also may receive inquiries from state regulatory agencies regarding requirements to obtain licenses from or register with those states, including in states where we have determined that we are not required to obtain such a license or be registered with the state.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Business Combination and Integration of Businesses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has limited experience in operating a public company.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executive officers have limited experience in the management of a publicly traded company. Our management team may not successfully or effectively manage public company requirements, and the Company is and will continue to be subject to significant regulatory oversight and reporting obligations under federal securities laws. Our management’s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the business.</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and may continue to incur significant increased expenses and administrative burdens as a public company, which could have an adverse effect on our business, financial condition and results of operations.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public company, we have faced increased legal, accounting, administrative and other costs and expenses that we did not incur as a private company. The Sarbanes-Oxley Act of 2002 (the “Sarbanes-Oxley Act”), including the requirements of Section 404, as well as rules and regulations subsequently implemented by the SEC, the Dodd-Frank Act of 2010 and the rules and regulations promulgated and to be promulgated thereunder, the Public Company Accounting Oversight Board (“PCAOB”) and the securities exchanges, impose additional reporting and other obligations on public companies. Compliance with public company requirements has increased costs and made certain activities more time-consuming. A number of those requirements require us to carry out activities we had not done as a private company. In addition, additional expenses associated with SEC reporting requirements have been incurred. Furthermore, if any issues in complying with those requirements are identified (for example, if the auditors identify a material weakness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Risks associated with our status as a public company may make it more difficult to attract and retain qualified persons to serve on the Board of Directors or as executive officers. The additional reporting and other obligations imposed by these rules and regulations have increased legal and financial compliance costs and the costs of related legal, accounting and administrative activities. These increased costs have required us to divert a significant amount of money that could otherwise have been used to expand the business and achieve strategic objectives. Advocacy efforts by stockholders and third parties may also prompt additional changes in governance and reporting requirements, which could further increase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from time to time be subject to litigation and other claims.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may from time to time become subject to litigation claims in the operation of our business, including, but not limited to, with respect to employee matters and contract matters. From time to time, we may also face intellectual property infringement, misappropriation, or invalidity/non-infringement claims from third parties, and some of these claims may lead to litigation. We may initiate claims to assert or defend our intellectual property against third parties. Any litigation may be expensive and time-consuming and could divert management’s attention from our business and negatively affect our operating results or financial condition. The outcome of any litigation cannot be guaranteed, and adverse outcomes affect us negatively.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7" w:name="page28"/>
    <w:bookmarkEnd w:id="27"/>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control us and their interests may conflict with the interests of our other stockholders in the future.</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executive officers and directors and certain affiliated stockholders own a significant portion of the outstanding voting stock of the Company as of the date of this report. Each share of our common stock initially entitles stockholders to one vote on all matters presented to stockholders generally. Accordingly, those owners, if voting in the same manner, could materially influence the election and removal of our directors and thereby determine corporate and management policies, including potential mergers or acquisitions, payment of dividends, asset sales, amendments of the certificate of incorporation and bylaws and other significant corporate transactions for so long as they retain significant ownership. This concentration of ownership may delay or deter possible changes in control of Open Lending, which may reduce the value of an investment in our common stock. So long as they continue to own a significant amount of the combined voting power, even if such amount is less than 50%, they will continue to be able to strongly influence decisions of the Company.</w:t>
      </w:r>
    </w:p>
    <w:p>
      <w:pPr>
        <w:spacing w:after="0" w:line="3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our amended and restated bylaws, unless we consent in writing to the selection of an alternative forum, the Court of Chancery of the State of Delaware is the sole and exclusive forum for any state law claim for (i) any derivative action or proceeding brought on our behalf; (ii) any action asserting a claim of or based on a breach of a fiduciary duty owed by any director, officer or other employee of ours to us or our stockholders; (iii) any action asserting a claim pursuant to any provision of the Delaware General Corporation Law, our amended and restated certificate of incorporation or our amended and restated bylaws; or (iv)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the selection of an alternative forum, the U.S. District Court for the Western District of Texas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or the State of Texas.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U.S. District Court for the Western District of Texas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which may make it difficult to sell the shares of our common stock purchased by our stockholders.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can be no assurance that we will be able to maintain an active trading market for our common stock on the Nasdaq or any other exchange in the future. If an active market for our common stock is not sustained, it may be difficult for stockholders to sell their shares of our common stock at an attractive price (or at all). The market price of our common stock may decline below our stockholders’ purchase price. An inactive trading market may also impair our ability to raise capital by selling shares of capital stock, attract and motivate employees through equity incentive awards, and acquire other companies, products, or technologies by using shares of capital stock as consideration.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the Nasdaq.</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Nasdaq delists our shares of common stock from trading on its exchange for failure to meet the Nasdaq’s listing standards, we and our stockholders could face significant material adverse consequences including the following:</w:t>
      </w:r>
    </w:p>
    <w:p>
      <w:pPr>
        <w:spacing w:after="0" w:line="6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17"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has been and may continue to be volatile, which could cause the value of our stockholders’ investment to decline.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market price of our common stock has been volatile and could be subject to wide fluctuations. In addition, the trading volume in our common stock may fluctuate and cause significant price variations to occur. Securities markets worldwide experience significant price and volume fluctuations. This market volatility, as well as general economic, market and political conditions, could reduce the market price of shares of our common stock despite our operating performance. In addition, our results of operations could be below the expectations of public market analysts and investors due to a number of potential factors, including the following:</w:t>
      </w:r>
    </w:p>
    <w:p>
      <w:pPr>
        <w:spacing w:after="0" w:line="8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variations in our quarterly or annual 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key automotive lenders or a reduction in the amount of certified loans generated by such lenders;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earnings estimates (if provided) or failure to meet analysts’ earnings estimates;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publication of research reports about our industry, litigation and government investigations;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or enforcement thereof affecting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market reaction to any indebtedness we may incur or securities we may issue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market valuations of similar companies or speculation in the press or the investment community with respect to us or our industry;</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announcements by us or others and developments affecting us;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our competitors of significant contracts, acquisitions, dispositions, strategic partnerships, joint ventures or capital commitments;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actions by institutional stockholders;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market interest rates that may lead investors in our shares to demand a higher yield, and in response the market price of shares of our common stock could decrease significantly.</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broad market and industry factors may decrease the market price of our common stock,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29" w:name="page30"/>
    <w:bookmarkEnd w:id="29"/>
    <w:p>
      <w:pPr>
        <w:jc w:val="both"/>
        <w:spacing w:after="0" w:line="342" w:lineRule="auto"/>
        <w:rPr>
          <w:sz w:val="20"/>
          <w:szCs w:val="20"/>
          <w:color w:val="auto"/>
        </w:rPr>
      </w:pPr>
      <w:r>
        <w:rPr>
          <w:rFonts w:ascii="Arial" w:cs="Arial" w:eastAsia="Arial" w:hAnsi="Arial"/>
          <w:sz w:val="16"/>
          <w:szCs w:val="16"/>
          <w:color w:val="auto"/>
        </w:rPr>
        <w:t>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amount of our common stock could cause the price of our securities to fall.</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2022, a significant portion of the outstanding shares of our common stock is held by entities affiliated with us and our executive officers and directors. Sales of substantial amounts of our common stock in the public market, or the perception that such sales will occur, could adversely affect the market price of our common stock and make it difficult for us to raise funds through securities offerings in the future.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exercise of registration rights may adversely affect the market price of our common stock.</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consummation of the Business Combination, Open Lending, LLC, Open Lending Corporation, Nebula, certain persons and entities holding membership units of Open Lending and certain persons and entities holding Founder Shares (collectively, the “Holders”) entered into the Investor Rights Agreement. Pursuant to the terms of the Investor Rights Agreement, we are obligated to file a registration statement to register the resale of certain of our securities held by the Holders. In addition, pursuant to the terms of the Investor Rights Agreement and subject to certain requirements and customary conditions, including with regard to the number of demand rights that may be exercised, the Holders may demand at any time or from time to time that we file a registration statement on Form S-1, or any similar long-form registration statement, or if available, on Form S-3 to register the shares of our common stock held by the Holders. The Investor Rights Agreement also provides the Holders with “piggy-back” registration rights, subject to certain requirements and customary conditions. The registration and availability of such a significant number of securities for trading in the public market may have an adverse effect on the market price of our common stock.</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our stockholders may not receive any return on investment unless our common stock can be sold for a price greater than the purchase price.</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no current plans to pay cash dividends on our common stock. The declaration, amount and payment of any future dividends will be at the sole discretion of our Board of Directors. Our Board of Directors may take into account general and economic conditions, our financial condition and operating results, our available cash, current and anticipated cash needs, capital requirements, contractual, legal, tax and regulatory restrictions, implications on the payment of dividends by us to our stockholders or by our subsidiary to us and such other factors as our Board of Directors may deem relevant. In addition, the terms of our existing financing arrangements restrict or limit our ability to pay cash dividends. Accordingly, we may not pay any dividends on our common stock in the foreseeable future.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offerings of debt or equity securities by us may adversely affect the market price of our common stock.</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 Future acquisitions could require substantial additional capital in excess of cash from operations. We would expect to obtain the capital required for acquisitions through a combination of additional issuances of equity, corporate indebtedness and/or cash from operations.</w:t>
      </w:r>
    </w:p>
    <w:p>
      <w:pPr>
        <w:spacing w:after="0" w:line="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0" w:name="page31"/>
    <w:bookmarkEnd w:id="30"/>
    <w:p>
      <w:pPr>
        <w:spacing w:after="0" w:line="277" w:lineRule="auto"/>
        <w:rPr>
          <w:sz w:val="20"/>
          <w:szCs w:val="20"/>
          <w:color w:val="auto"/>
        </w:rPr>
      </w:pPr>
      <w:r>
        <w:rPr>
          <w:rFonts w:ascii="Arial" w:cs="Arial" w:eastAsia="Arial" w:hAnsi="Arial"/>
          <w:sz w:val="18"/>
          <w:szCs w:val="18"/>
          <w:b w:val="1"/>
          <w:bCs w:val="1"/>
          <w:i w:val="1"/>
          <w:iCs w:val="1"/>
          <w:color w:val="auto"/>
        </w:rPr>
        <w:t>Certain provisions of our certificate of incorporation and bylaws could hinder, delay or prevent a change in control, which could adversely affect the price of our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Certain provisions of our certificate of incorporation and bylaws could make it more difficult for a third party to acquire us without the consent of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Among other things, these provisions:</w:t>
      </w:r>
    </w:p>
    <w:p>
      <w:pPr>
        <w:spacing w:after="0" w:line="103" w:lineRule="exact"/>
        <w:rPr>
          <w:sz w:val="20"/>
          <w:szCs w:val="20"/>
          <w:color w:val="auto"/>
        </w:rPr>
      </w:pPr>
    </w:p>
    <w:p>
      <w:pPr>
        <w:jc w:val="both"/>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authorize the issuance of undesignated preferred stock, the terms of which may be established and the shares of which may be issued without stockholder approval, and which may include super voting, special approval, dividend, or other rights or preferences superior to the rights of the holders of our common stock;</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stockholder actions be taken at a meeting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of Directors or for proposing matters that can be acted upon by stockholders at stockholder meetings; and</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establish a classified Board of Directors, as a result of which our Board of Directors will be divided into three classes, with each class serving for staggered three-year terms, which prevents stockholders from electing an entirely new Board of Directors at an annual meeting.</w:t>
      </w:r>
    </w:p>
    <w:p>
      <w:pPr>
        <w:spacing w:after="0" w:line="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these provisions may make it difficult and expensive for a third party to pursue a tender offer, change in control or takeover attempt that is opposed by our management or our Board of Directors. Stockholders who might desire to participate in these types of transactions may not have an opportunity to do so, even if the transaction is favorable to them. These anti-takeover provisions could substantially impede stockholders’ ability to benefit from a change in control or change our management and board of directors and, as a result, may adversely affect the market price of our common stock and stockholders’ ability to realize any potential change of control premium.</w:t>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securities and industry analysts publish inaccurate or unfavorable research about our business, our stock price and trading volume could decline</w:t>
      </w:r>
      <w:r>
        <w:rPr>
          <w:rFonts w:ascii="Arial" w:cs="Arial" w:eastAsia="Arial" w:hAnsi="Arial"/>
          <w:sz w:val="15"/>
          <w:szCs w:val="15"/>
          <w:color w:val="auto"/>
        </w:rPr>
        <w:t>.</w:t>
      </w:r>
    </w:p>
    <w:p>
      <w:pPr>
        <w:spacing w:after="0" w:line="1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and industry analysts publish about us and our business. If one or more of the securities or industry analysts who cover us downgrade our stock or publish inaccurate or unfavorable research about our business, our stock price would likely decline. If one or more of these analysts cease coverage of the Company or fail to publish reports on us regularly, demand for our stock could decrease, which might cause our stock price and trading volume to decline.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lease our office space, located at 1501 South MoPac Expressway, Suite 450, Austin, TX 78746. We believe our current office space is sufficient to meet our needs until the expiration of our lease.</w:t>
      </w:r>
    </w:p>
    <w:p>
      <w:pPr>
        <w:spacing w:after="0" w:line="3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date of this Annual Report, we are not a party to any material legal proceedings. 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2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120"/>
        <w:spacing w:after="0" w:line="503"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w:t>
      </w:r>
    </w:p>
    <w:p>
      <w:pPr>
        <w:jc w:val="both"/>
        <w:spacing w:after="0" w:line="263" w:lineRule="auto"/>
        <w:rPr>
          <w:sz w:val="20"/>
          <w:szCs w:val="20"/>
          <w:color w:val="auto"/>
        </w:rPr>
      </w:pPr>
      <w:r>
        <w:rPr>
          <w:rFonts w:ascii="Arial" w:cs="Arial" w:eastAsia="Arial" w:hAnsi="Arial"/>
          <w:sz w:val="18"/>
          <w:szCs w:val="18"/>
          <w:color w:val="auto"/>
        </w:rPr>
        <w:t>Our common stock is traded on the Nasdaq under the symbol “LPRO.” As of February 27, 2023, there were 24 registered stockholders of record. The actual number of stockholders is significantly greater than this number of record holders, and includes stockholders who are beneficial owners but whose shares are held in street name by brokers and other nominees.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 current plans to pay cash dividends on our common stock. The declaration, amount and payment of any future dividends will be at the sole discretion of our Board of Directors. Our Board of Directors may take into account general and economic conditions, our financial condition and operating results, our available cash, current and anticipated cash needs, capital requirements, contractual, legal, tax and regulatory restrictions, implications on the payment of dividends by us to our stockholders or by our subsidiary to us and such other factors as our Board of Directors may deem relevant. In addition, our ability to pay dividends is limited by covenants in our existing indebtedness and may be limited by the agreements governing other indebtedness that we incur in the future. Accordingly, we may not pay any dividends on our common stock in the foreseeable future.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with respect to our repurchases of shares of common stock during the three months ended December 31,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Period</w:t>
      </w:r>
    </w:p>
    <w:p>
      <w:pPr>
        <w:spacing w:after="0" w:line="27" w:lineRule="exact"/>
        <w:rPr>
          <w:sz w:val="20"/>
          <w:szCs w:val="20"/>
          <w:color w:val="auto"/>
        </w:rPr>
      </w:pPr>
    </w:p>
    <w:p>
      <w:pPr>
        <w:jc w:val="both"/>
        <w:ind w:left="20"/>
        <w:spacing w:after="0" w:line="320" w:lineRule="auto"/>
        <w:rPr>
          <w:sz w:val="20"/>
          <w:szCs w:val="20"/>
          <w:color w:val="auto"/>
        </w:rPr>
      </w:pPr>
      <w:r>
        <w:rPr>
          <w:rFonts w:ascii="Arial" w:cs="Arial" w:eastAsia="Arial" w:hAnsi="Arial"/>
          <w:sz w:val="16"/>
          <w:szCs w:val="16"/>
          <w:color w:val="auto"/>
        </w:rPr>
        <w:t>10/1/2022-10/31/2022 11/1/2022-11/30/2022 12/1/2022-12/31/2022</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Approximate dollar value</w:t>
            </w:r>
          </w:p>
        </w:tc>
      </w:tr>
      <w:tr>
        <w:trPr>
          <w:trHeight w:val="189"/>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8"/>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jc w:val="center"/>
              <w:ind w:right="30"/>
              <w:spacing w:after="0" w:line="189" w:lineRule="exact"/>
              <w:rPr>
                <w:sz w:val="20"/>
                <w:szCs w:val="20"/>
                <w:color w:val="auto"/>
              </w:rPr>
            </w:pPr>
            <w:r>
              <w:rPr>
                <w:rFonts w:ascii="Arial" w:cs="Arial" w:eastAsia="Arial" w:hAnsi="Arial"/>
                <w:sz w:val="18"/>
                <w:szCs w:val="18"/>
                <w:b w:val="1"/>
                <w:bCs w:val="1"/>
                <w:color w:val="auto"/>
                <w:w w:val="88"/>
              </w:rPr>
              <w:t>of shares that may yet be</w:t>
            </w:r>
          </w:p>
        </w:tc>
      </w:tr>
      <w:tr>
        <w:trPr>
          <w:trHeight w:val="176"/>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purchased as part of</w:t>
            </w:r>
          </w:p>
        </w:tc>
        <w:tc>
          <w:tcPr>
            <w:tcW w:w="100" w:type="dxa"/>
            <w:vAlign w:val="bottom"/>
          </w:tcPr>
          <w:p>
            <w:pPr>
              <w:spacing w:after="0"/>
              <w:rPr>
                <w:sz w:val="15"/>
                <w:szCs w:val="15"/>
                <w:color w:val="auto"/>
              </w:rPr>
            </w:pPr>
          </w:p>
        </w:tc>
        <w:tc>
          <w:tcPr>
            <w:tcW w:w="21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8"/>
              </w:rPr>
              <w:t>purchased under the plans</w:t>
            </w:r>
          </w:p>
        </w:tc>
      </w:tr>
      <w:tr>
        <w:trPr>
          <w:trHeight w:val="189"/>
        </w:trPr>
        <w:tc>
          <w:tcPr>
            <w:tcW w:w="2140" w:type="dxa"/>
            <w:vAlign w:val="bottom"/>
          </w:tcPr>
          <w:p>
            <w:pPr>
              <w:jc w:val="right"/>
              <w:ind w:right="90"/>
              <w:spacing w:after="0" w:line="189" w:lineRule="exact"/>
              <w:rPr>
                <w:sz w:val="20"/>
                <w:szCs w:val="20"/>
                <w:color w:val="auto"/>
              </w:rPr>
            </w:pPr>
            <w:r>
              <w:rPr>
                <w:rFonts w:ascii="Arial" w:cs="Arial" w:eastAsia="Arial" w:hAnsi="Arial"/>
                <w:sz w:val="18"/>
                <w:szCs w:val="18"/>
                <w:b w:val="1"/>
                <w:bCs w:val="1"/>
                <w:color w:val="auto"/>
                <w:w w:val="97"/>
              </w:rPr>
              <w:t>Total number of shares</w:t>
            </w:r>
          </w:p>
        </w:tc>
        <w:tc>
          <w:tcPr>
            <w:tcW w:w="100" w:type="dxa"/>
            <w:vAlign w:val="bottom"/>
          </w:tcPr>
          <w:p>
            <w:pPr>
              <w:spacing w:after="0"/>
              <w:rPr>
                <w:sz w:val="16"/>
                <w:szCs w:val="16"/>
                <w:color w:val="auto"/>
              </w:rPr>
            </w:pPr>
          </w:p>
        </w:tc>
        <w:tc>
          <w:tcPr>
            <w:tcW w:w="1920" w:type="dxa"/>
            <w:vAlign w:val="bottom"/>
            <w:gridSpan w:val="3"/>
          </w:tcPr>
          <w:p>
            <w:pPr>
              <w:ind w:left="40"/>
              <w:spacing w:after="0" w:line="189" w:lineRule="exact"/>
              <w:rPr>
                <w:sz w:val="20"/>
                <w:szCs w:val="20"/>
                <w:color w:val="auto"/>
              </w:rPr>
            </w:pPr>
            <w:r>
              <w:rPr>
                <w:rFonts w:ascii="Arial" w:cs="Arial" w:eastAsia="Arial" w:hAnsi="Arial"/>
                <w:sz w:val="18"/>
                <w:szCs w:val="18"/>
                <w:b w:val="1"/>
                <w:bCs w:val="1"/>
                <w:color w:val="auto"/>
                <w:w w:val="95"/>
              </w:rPr>
              <w:t>Average price paid per</w:t>
            </w:r>
          </w:p>
        </w:tc>
        <w:tc>
          <w:tcPr>
            <w:tcW w:w="21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8"/>
              </w:rPr>
              <w:t>publicly announced plans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jc w:val="center"/>
              <w:ind w:right="30"/>
              <w:spacing w:after="0" w:line="189" w:lineRule="exact"/>
              <w:rPr>
                <w:sz w:val="20"/>
                <w:szCs w:val="20"/>
                <w:color w:val="auto"/>
              </w:rPr>
            </w:pPr>
            <w:r>
              <w:rPr>
                <w:rFonts w:ascii="Arial" w:cs="Arial" w:eastAsia="Arial" w:hAnsi="Arial"/>
                <w:sz w:val="18"/>
                <w:szCs w:val="18"/>
                <w:b w:val="1"/>
                <w:bCs w:val="1"/>
                <w:color w:val="auto"/>
                <w:w w:val="90"/>
              </w:rPr>
              <w:t>or programs</w:t>
            </w:r>
          </w:p>
        </w:tc>
      </w:tr>
      <w:tr>
        <w:trPr>
          <w:trHeight w:val="230"/>
        </w:trPr>
        <w:tc>
          <w:tcPr>
            <w:tcW w:w="2140" w:type="dxa"/>
            <w:vAlign w:val="bottom"/>
          </w:tcPr>
          <w:p>
            <w:pPr>
              <w:jc w:val="right"/>
              <w:ind w:right="490"/>
              <w:spacing w:after="0" w:line="230" w:lineRule="exact"/>
              <w:rPr>
                <w:sz w:val="20"/>
                <w:szCs w:val="20"/>
                <w:color w:val="auto"/>
              </w:rPr>
            </w:pPr>
            <w:r>
              <w:rPr>
                <w:rFonts w:ascii="Arial" w:cs="Arial" w:eastAsia="Arial" w:hAnsi="Arial"/>
                <w:sz w:val="18"/>
                <w:szCs w:val="18"/>
                <w:b w:val="1"/>
                <w:bCs w:val="1"/>
                <w:color w:val="auto"/>
              </w:rPr>
              <w:t xml:space="preserve">purchased </w:t>
            </w:r>
            <w:r>
              <w:rPr>
                <w:rFonts w:ascii="Arial" w:cs="Arial" w:eastAsia="Arial" w:hAnsi="Arial"/>
                <w:sz w:val="23"/>
                <w:szCs w:val="23"/>
                <w:b w:val="1"/>
                <w:bCs w:val="1"/>
                <w:color w:val="auto"/>
                <w:vertAlign w:val="superscript"/>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ind w:left="280"/>
              <w:spacing w:after="0"/>
              <w:rPr>
                <w:sz w:val="20"/>
                <w:szCs w:val="20"/>
                <w:color w:val="auto"/>
              </w:rPr>
            </w:pPr>
            <w:r>
              <w:rPr>
                <w:rFonts w:ascii="Arial" w:cs="Arial" w:eastAsia="Arial" w:hAnsi="Arial"/>
                <w:sz w:val="18"/>
                <w:szCs w:val="18"/>
                <w:b w:val="1"/>
                <w:bCs w:val="1"/>
                <w:color w:val="auto"/>
              </w:rPr>
              <w:t>share</w:t>
            </w:r>
          </w:p>
        </w:tc>
        <w:tc>
          <w:tcPr>
            <w:tcW w:w="216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89"/>
              </w:rPr>
              <w:t xml:space="preserve">or programs </w:t>
            </w:r>
            <w:r>
              <w:rPr>
                <w:rFonts w:ascii="Arial" w:cs="Arial" w:eastAsia="Arial" w:hAnsi="Arial"/>
                <w:sz w:val="23"/>
                <w:szCs w:val="23"/>
                <w:b w:val="1"/>
                <w:bCs w:val="1"/>
                <w:color w:val="auto"/>
                <w:w w:val="89"/>
                <w:vertAlign w:val="superscript"/>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center"/>
              <w:ind w:right="30"/>
              <w:spacing w:after="0" w:line="230" w:lineRule="exact"/>
              <w:rPr>
                <w:sz w:val="20"/>
                <w:szCs w:val="20"/>
                <w:color w:val="auto"/>
              </w:rPr>
            </w:pPr>
            <w:r>
              <w:rPr>
                <w:rFonts w:ascii="Arial" w:cs="Arial" w:eastAsia="Arial" w:hAnsi="Arial"/>
                <w:sz w:val="18"/>
                <w:szCs w:val="18"/>
                <w:b w:val="1"/>
                <w:bCs w:val="1"/>
                <w:color w:val="auto"/>
                <w:w w:val="89"/>
              </w:rPr>
              <w:t xml:space="preserve">(in millions) </w:t>
            </w:r>
            <w:r>
              <w:rPr>
                <w:rFonts w:ascii="Arial" w:cs="Arial" w:eastAsia="Arial" w:hAnsi="Arial"/>
                <w:sz w:val="23"/>
                <w:szCs w:val="23"/>
                <w:b w:val="1"/>
                <w:bCs w:val="1"/>
                <w:color w:val="auto"/>
                <w:w w:val="89"/>
                <w:vertAlign w:val="superscript"/>
              </w:rPr>
              <w:t>(2)</w:t>
            </w:r>
          </w:p>
        </w:tc>
      </w:tr>
      <w:tr>
        <w:trPr>
          <w:trHeight w:val="222"/>
        </w:trPr>
        <w:tc>
          <w:tcPr>
            <w:tcW w:w="2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17,327</w:t>
            </w:r>
          </w:p>
        </w:tc>
        <w:tc>
          <w:tcPr>
            <w:tcW w:w="100" w:type="dxa"/>
            <w:vAlign w:val="bottom"/>
          </w:tcPr>
          <w:p>
            <w:pPr>
              <w:spacing w:after="0"/>
              <w:rPr>
                <w:sz w:val="19"/>
                <w:szCs w:val="19"/>
                <w:color w:val="auto"/>
              </w:rPr>
            </w:pP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9"/>
                <w:szCs w:val="19"/>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140" w:type="dxa"/>
            <w:vAlign w:val="bottom"/>
          </w:tcPr>
          <w:p>
            <w:pPr>
              <w:jc w:val="right"/>
              <w:spacing w:after="0"/>
              <w:rPr>
                <w:sz w:val="20"/>
                <w:szCs w:val="20"/>
                <w:color w:val="auto"/>
              </w:rPr>
            </w:pPr>
            <w:r>
              <w:rPr>
                <w:rFonts w:ascii="Arial" w:cs="Arial" w:eastAsia="Arial" w:hAnsi="Arial"/>
                <w:sz w:val="18"/>
                <w:szCs w:val="18"/>
                <w:color w:val="auto"/>
              </w:rPr>
              <w:t>357,101</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356,525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72.5</w:t>
            </w:r>
          </w:p>
        </w:tc>
      </w:tr>
      <w:tr>
        <w:trPr>
          <w:trHeight w:val="230"/>
        </w:trPr>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2,286,781</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2,286,781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23"/>
        </w:trPr>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2,661,209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2,643,306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-633730</wp:posOffset>
            </wp:positionV>
            <wp:extent cx="686625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66255" cy="154305"/>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-333375</wp:posOffset>
            </wp:positionV>
            <wp:extent cx="686625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66255" cy="145415"/>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2">
            <w:col w:w="1640" w:space="600"/>
            <w:col w:w="9000"/>
          </w:cols>
          <w:pgMar w:left="320" w:top="121" w:right="339" w:bottom="1440" w:gutter="0" w:footer="0" w:header="0"/>
          <w:type w:val="continuous"/>
        </w:sectPr>
      </w:pPr>
    </w:p>
    <w:p>
      <w:pPr>
        <w:ind w:firstLine="8"/>
        <w:spacing w:after="0" w:line="275" w:lineRule="auto"/>
        <w:tabs>
          <w:tab w:leader="none" w:pos="229"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17,327, 576 and no shares purchased from employees to satisfy their tax withholding obligations related to share-based awards that vested during the months of October, November and December 2022, respectively.</w:t>
      </w:r>
    </w:p>
    <w:p>
      <w:pPr>
        <w:spacing w:after="0" w:line="10" w:lineRule="exact"/>
        <w:rPr>
          <w:rFonts w:ascii="Arial" w:cs="Arial" w:eastAsia="Arial" w:hAnsi="Arial"/>
          <w:sz w:val="16"/>
          <w:szCs w:val="16"/>
          <w:color w:val="auto"/>
        </w:rPr>
      </w:pPr>
    </w:p>
    <w:p>
      <w:pPr>
        <w:ind w:firstLine="8"/>
        <w:spacing w:after="0" w:line="293" w:lineRule="auto"/>
        <w:tabs>
          <w:tab w:leader="none" w:pos="243"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November 17, 2022, our Board of Directors authorized share repurchases under a share repurchase program (the “Share Repurchase Program”) for up to $75.0 million, effective through November 17, 2023.</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Future share repurchases are subject to the business judgment of our Board of Directors, taking into consideration our historical and projected results of operations, financial condition, cash flows, capital requirements, covenant compliance, current economic environment and other factors considered relevant. As of December 31, 2022, we had $57.0 million available under the Share Repurchase Program. Refer to </w:t>
      </w:r>
      <w:r>
        <w:rPr>
          <w:rFonts w:ascii="Arial" w:cs="Arial" w:eastAsia="Arial" w:hAnsi="Arial"/>
          <w:sz w:val="17"/>
          <w:szCs w:val="17"/>
          <w:u w:val="single" w:color="auto"/>
          <w:color w:val="0000FF"/>
        </w:rPr>
        <w:t>Item 7,</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Analysis of Financial Condition and Results of Operations</w:t>
      </w:r>
      <w:r>
        <w:rPr>
          <w:rFonts w:ascii="Arial" w:cs="Arial" w:eastAsia="Arial" w:hAnsi="Arial"/>
          <w:sz w:val="17"/>
          <w:szCs w:val="17"/>
          <w:i w:val="1"/>
          <w:iCs w:val="1"/>
          <w:color w:val="0000FF"/>
        </w:rPr>
        <w:t xml:space="preserve"> </w:t>
      </w:r>
      <w:r>
        <w:rPr>
          <w:rFonts w:ascii="Arial" w:cs="Arial" w:eastAsia="Arial" w:hAnsi="Arial"/>
          <w:sz w:val="17"/>
          <w:szCs w:val="17"/>
          <w:color w:val="000000"/>
        </w:rPr>
        <w:t>within this Annual Report for additional information on our share repurchases.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concerning our equity compensation plans is incorporated by reference herein to the section in our definitive Proxy Statement for the 2023 Annual Meeting of Stockholders (“2023 Proxy Statement”) entitled “</w:t>
      </w:r>
      <w:r>
        <w:rPr>
          <w:rFonts w:ascii="Arial" w:cs="Arial" w:eastAsia="Arial" w:hAnsi="Arial"/>
          <w:sz w:val="18"/>
          <w:szCs w:val="18"/>
          <w:i w:val="1"/>
          <w:iCs w:val="1"/>
          <w:color w:val="auto"/>
        </w:rPr>
        <w:t>Equity Compensation Plan Information.</w:t>
      </w:r>
      <w:r>
        <w:rPr>
          <w:rFonts w:ascii="Arial" w:cs="Arial" w:eastAsia="Arial" w:hAnsi="Arial"/>
          <w:sz w:val="18"/>
          <w:szCs w:val="18"/>
          <w:color w:val="auto"/>
        </w:rPr>
        <w: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graph below shows the cumulative total stockholder return of an investment of $100.00 at market close on the Closing Date of the Business Combination, in (i) our common stock, (ii) the S&amp;P 500 Index, and (iii) common stock of a selected group of peer issuers (the “Peer Group”). The Peer Group has changed from the prior year to replace Equifax Inc., FleetCor Technologies, Inc., TransUnion, Verisk Analytics, Inc. and WEX Inc. with other more comparable peer companies in the same industry. The current Peer Group tracks the weighted average stock price performance of equity securities of nine companies in our industry, including Green Dot Corporation, Jack Henry &amp; Associates, Inc., LendingClub Corporation, Pagaya Technologies Ltd., Paymentus Holdings, Inc., Q2 Holdings, Inc., Repay Holdings Corporation, SoFi Technologies, Inc. and Upstart Holdings, Inc. Data for the S&amp;P 500 Index and the Peer Group assumes reinvestment of dividends. Our common stock had a closing stock price of $13.75 on the Closing Date, and the stock price performance shown in the graph below is based on historical data and is not indicative of, nor intended to forecast, future stock price performance of 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288290</wp:posOffset>
            </wp:positionV>
            <wp:extent cx="5554980" cy="22371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5498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4" w:name="page35"/>
    <w:bookmarkEnd w:id="34"/>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337" w:lineRule="exact"/>
        <w:rPr>
          <w:sz w:val="20"/>
          <w:szCs w:val="20"/>
          <w:color w:val="auto"/>
        </w:rPr>
      </w:pPr>
    </w:p>
    <w:p>
      <w:pPr>
        <w:jc w:val="both"/>
        <w:spacing w:after="0" w:line="269" w:lineRule="auto"/>
        <w:rPr>
          <w:rFonts w:ascii="Arial" w:cs="Arial" w:eastAsia="Arial" w:hAnsi="Arial"/>
          <w:sz w:val="17"/>
          <w:szCs w:val="17"/>
          <w:i w:val="1"/>
          <w:iCs w:val="1"/>
          <w:color w:val="0000FF"/>
        </w:rPr>
      </w:pPr>
      <w:r>
        <w:rPr>
          <w:rFonts w:ascii="Arial" w:cs="Arial" w:eastAsia="Arial" w:hAnsi="Arial"/>
          <w:sz w:val="17"/>
          <w:szCs w:val="17"/>
          <w:i w:val="1"/>
          <w:iCs w:val="1"/>
          <w:color w:val="auto"/>
        </w:rPr>
        <w:t xml:space="preserve">The following discussion and analysis should be read in conjunction with our consolidated financial statements and related notes appearing in </w:t>
      </w:r>
      <w:r>
        <w:rPr>
          <w:rFonts w:ascii="Arial" w:cs="Arial" w:eastAsia="Arial" w:hAnsi="Arial"/>
          <w:sz w:val="17"/>
          <w:szCs w:val="17"/>
          <w:i w:val="1"/>
          <w:iCs w:val="1"/>
          <w:u w:val="single" w:color="auto"/>
          <w:color w:val="0000FF"/>
        </w:rPr>
        <w:t>Item 8.</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0000FF"/>
        </w:rPr>
        <w:t>Financial Statements and Supplementary Data</w:t>
      </w:r>
      <w:r>
        <w:rPr>
          <w:rFonts w:ascii="Arial" w:cs="Arial" w:eastAsia="Arial" w:hAnsi="Arial"/>
          <w:sz w:val="17"/>
          <w:szCs w:val="17"/>
          <w:i w:val="1"/>
          <w:iCs w:val="1"/>
          <w:color w:val="000000"/>
        </w:rPr>
        <w:t>. This section of our Annual Report generally discusses 2022 and 2021 items and year-to-year comparisons</w:t>
      </w:r>
      <w:r>
        <w:rPr>
          <w:rFonts w:ascii="Arial" w:cs="Arial" w:eastAsia="Arial" w:hAnsi="Arial"/>
          <w:sz w:val="17"/>
          <w:szCs w:val="17"/>
          <w:i w:val="1"/>
          <w:iCs w:val="1"/>
          <w:color w:val="0000FF"/>
        </w:rPr>
        <w:t xml:space="preserve"> </w:t>
      </w:r>
      <w:r>
        <w:rPr>
          <w:rFonts w:ascii="Arial" w:cs="Arial" w:eastAsia="Arial" w:hAnsi="Arial"/>
          <w:sz w:val="17"/>
          <w:szCs w:val="17"/>
          <w:i w:val="1"/>
          <w:iCs w:val="1"/>
          <w:color w:val="000000"/>
        </w:rPr>
        <w:t xml:space="preserve">between 2022 and 2021. Discussions of 2020 items and year-to-year comparisons between 2021 and 2020 that are not included in this Annual Report can </w:t>
      </w:r>
      <w:hyperlink r:id="rId49">
        <w:r>
          <w:rPr>
            <w:rFonts w:ascii="Arial" w:cs="Arial" w:eastAsia="Arial" w:hAnsi="Arial"/>
            <w:sz w:val="17"/>
            <w:szCs w:val="17"/>
            <w:i w:val="1"/>
            <w:iCs w:val="1"/>
            <w:color w:val="000000"/>
          </w:rPr>
          <w:t xml:space="preserve">be found in Part II, “Item 7. Management’s Discussion and Analysis of Financial Condition and Results of Operations” of our </w:t>
        </w:r>
        <w:r>
          <w:rPr>
            <w:rFonts w:ascii="Arial" w:cs="Arial" w:eastAsia="Arial" w:hAnsi="Arial"/>
            <w:sz w:val="17"/>
            <w:szCs w:val="17"/>
            <w:i w:val="1"/>
            <w:iCs w:val="1"/>
            <w:u w:val="single" w:color="auto"/>
            <w:color w:val="0000FF"/>
          </w:rPr>
          <w:t>Annual Report on Form 10-</w:t>
        </w:r>
      </w:hyperlink>
      <w:hyperlink r:id="rId49">
        <w:r>
          <w:rPr>
            <w:rFonts w:ascii="Arial" w:cs="Arial" w:eastAsia="Arial" w:hAnsi="Arial"/>
            <w:sz w:val="17"/>
            <w:szCs w:val="17"/>
            <w:i w:val="1"/>
            <w:iCs w:val="1"/>
            <w:u w:val="single" w:color="auto"/>
            <w:color w:val="0000FF"/>
          </w:rPr>
          <w:t>K</w:t>
        </w:r>
        <w:r>
          <w:rPr>
            <w:rFonts w:ascii="Arial" w:cs="Arial" w:eastAsia="Arial" w:hAnsi="Arial"/>
            <w:sz w:val="17"/>
            <w:szCs w:val="17"/>
            <w:i w:val="1"/>
            <w:iCs w:val="1"/>
            <w:color w:val="0000FF"/>
          </w:rPr>
          <w:t xml:space="preserve"> </w:t>
        </w:r>
        <w:r>
          <w:rPr>
            <w:rFonts w:ascii="Arial" w:cs="Arial" w:eastAsia="Arial" w:hAnsi="Arial"/>
            <w:sz w:val="17"/>
            <w:szCs w:val="17"/>
            <w:i w:val="1"/>
            <w:iCs w:val="1"/>
            <w:color w:val="000000"/>
          </w:rPr>
          <w:t>for the fiscal year ended December 31, 2021. The following discussion contains forward-looking statements that reflect our future plans, estimates,</w:t>
        </w:r>
      </w:hyperlink>
      <w:r>
        <w:rPr>
          <w:rFonts w:ascii="Arial" w:cs="Arial" w:eastAsia="Arial" w:hAnsi="Arial"/>
          <w:sz w:val="17"/>
          <w:szCs w:val="17"/>
          <w:i w:val="1"/>
          <w:iCs w:val="1"/>
          <w:color w:val="0000FF"/>
        </w:rPr>
        <w:t xml:space="preserve"> </w:t>
      </w:r>
      <w:r>
        <w:rPr>
          <w:rFonts w:ascii="Arial" w:cs="Arial" w:eastAsia="Arial" w:hAnsi="Arial"/>
          <w:sz w:val="17"/>
          <w:szCs w:val="17"/>
          <w:i w:val="1"/>
          <w:iCs w:val="1"/>
          <w:color w:val="000000"/>
        </w:rPr>
        <w:t xml:space="preserve">beliefs and expected performance. The forward-looking statements are dependent upon events, risks and uncertainties that may be outside our control. Our actual results could differ materially from those discussed in these forward-looking statements. Factors that could cause or contribute to such differences include, but are not limited to those factors discussed below and elsewhere in this Annual Report, particularly in </w:t>
      </w:r>
      <w:r>
        <w:rPr>
          <w:rFonts w:ascii="Arial" w:cs="Arial" w:eastAsia="Arial" w:hAnsi="Arial"/>
          <w:sz w:val="17"/>
          <w:szCs w:val="17"/>
          <w:i w:val="1"/>
          <w:iCs w:val="1"/>
          <w:u w:val="single" w:color="auto"/>
          <w:color w:val="0000FF"/>
        </w:rPr>
        <w:t>Item 1A—Risk Factors</w:t>
      </w:r>
      <w:r>
        <w:rPr>
          <w:rFonts w:ascii="Arial" w:cs="Arial" w:eastAsia="Arial" w:hAnsi="Arial"/>
          <w:sz w:val="17"/>
          <w:szCs w:val="17"/>
          <w:i w:val="1"/>
          <w:iCs w:val="1"/>
          <w:color w:val="000000"/>
        </w:rPr>
        <w:t xml:space="preserve"> and </w:t>
      </w:r>
      <w:r>
        <w:rPr>
          <w:rFonts w:ascii="Arial" w:cs="Arial" w:eastAsia="Arial" w:hAnsi="Arial"/>
          <w:sz w:val="17"/>
          <w:szCs w:val="17"/>
          <w:i w:val="1"/>
          <w:iCs w:val="1"/>
          <w:u w:val="single" w:color="auto"/>
          <w:color w:val="0000FF"/>
        </w:rPr>
        <w:t>Cautionary</w:t>
      </w:r>
      <w:r>
        <w:rPr>
          <w:rFonts w:ascii="Arial" w:cs="Arial" w:eastAsia="Arial" w:hAnsi="Arial"/>
          <w:sz w:val="17"/>
          <w:szCs w:val="17"/>
          <w:i w:val="1"/>
          <w:iCs w:val="1"/>
          <w:color w:val="000000"/>
        </w:rPr>
        <w:t xml:space="preserve"> </w:t>
      </w:r>
      <w:r>
        <w:rPr>
          <w:rFonts w:ascii="Arial" w:cs="Arial" w:eastAsia="Arial" w:hAnsi="Arial"/>
          <w:sz w:val="17"/>
          <w:szCs w:val="17"/>
          <w:i w:val="1"/>
          <w:iCs w:val="1"/>
          <w:u w:val="single" w:color="auto"/>
          <w:color w:val="0000FF"/>
        </w:rPr>
        <w:t>Note Regarding Forward-Looking Statements</w:t>
      </w:r>
      <w:r>
        <w:rPr>
          <w:rFonts w:ascii="Arial" w:cs="Arial" w:eastAsia="Arial" w:hAnsi="Arial"/>
          <w:sz w:val="17"/>
          <w:szCs w:val="17"/>
          <w:i w:val="1"/>
          <w:iCs w:val="1"/>
          <w:color w:val="000000"/>
        </w:rPr>
        <w:t>, all of which are difficult to predict. In light of these risks, uncertainties and assumptions, the forward-looking events discussed may not occur. We do not undertake any obligation to publicly update any forward-looking statements except as otherwise required by applicable law.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a leading provider of lending enablement and risk analytics to credit unions, regional banks, finance companies and the captive finance companies of automakers. Our customers, collectively referred to herein as automotive lenders, make automotive consumer loans to underserved near-prime and non-prime borrowers by harnessing our risk-based interest rate pricing models, powered by our proprietary data and real-time underwriting of automotive loan default insurance coverage from insurers. Since our inception in 2000, we have facilitated over $18.3 billion in automotive loans, accumulated more than 20 years of proprietary data and developed over two million unique risk profiles. We currently serve 438 active lenders.</w:t>
      </w:r>
    </w:p>
    <w:p>
      <w:pPr>
        <w:spacing w:after="0" w:line="5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specialize in risk-based pricing and modeling and provide automated decision-technology for automotive lenders throughout the U.S. We target the financing needs of near-prime and non-prime borrowers, or borrowers with a credit bureau score generally between 560 and 699, who are underserved in the automotive finance industry. Traditional lenders focus on prime borrowers, where an efficient market has developed with interest rate competition that benefits borrowers. Independent finance companies focus on sub-prime borrowers. Borrowers who must utilize the near-prime and non-prime automotive lending market have fewer lenders focused on loans with longer terms or higher advance rates. As a result, many near-prime and non-prime borrowers turn to sub-prime lenders, resulting in higher interest rate loan offerings than such borrower's credit profile often merits or warrants. We seek to make this market more competitive, resulting in more attractive loan terms.</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flagship product, LPP, is a cloud-based automotive lending platform. LPP supports loans made to near-prime and non-prime borrowers and is designed to underwrite default insurance by linking automotive lenders to insurance companies. The platform uses risk-based pricing models which enable automotive lenders to assess the credit risk of a potential borrower using data driven analysis. Our proprietary risk models project loan performance, including expected losses and prepayments in arriving at the optimal rate. With five second decisioning, LPP generates a risk-based, all-inclusive interest rate for a loan that is customized to each automotive lender, reflecting cost of capital, loan servicing and acquisition costs, expected recovery rates and target return on assets. LPP risk models use a proprietary score in assessing and pricing risk on automotive loan applications. This score combines credit bureau data and FCRA compliant alternative consumer data to more effectively assess risk and determine the appropriate insurance premium for any given loan application.</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LPP is powered by technology that delivers speed and scalability in providing interest rate decisioning to automotive lenders. It supports the full transaction lifecycle, including credit application, underwriting, real-time insurance approval, settlement, servicing, invoicing of insurance premiums and fees and advance data analytics of automotive lender’s portfolio under the program. Through electronic system integration, our software technology connects us to certain parties in our ecosystem.</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key element of LPP is the unique database that drives risk decisioning using data accumulated for more than 20 years. When a loan is insured at origination, all attributes of the transaction are stored in our database. Through the claims management process, we ultimately obtain loan life performance data on each insured loan. Having granular origination and performance data allows our data scientists and actuaries to constantly evolve and refine risk models, based on actual experience and third-party information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facilitate certified loans, as described below, and have achieved financial success by executing on our strategy of penetrating the near-prime and non-prime automotive loan market and refining our data analysis capabilities.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facilitated 165,211 and 171,697 certified loans during the years ended December 31, 2022 and 2021,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revenue was $179.6 million and $215.7 million for the years ended December 31, 2022 and 2021,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was $97.6 million and $150.3 million for the years ended December 31, 2022 and 2021,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$66.6 million and $146.1 million for the years ended December 31, 2022 and 2021, respectively.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Adjusted EBITDA, as defined below, was $105.7 million and $155.0 million for the years ended December 31, 2022 and 2021, respectively. Information regarding use of Adjusted EBITDA, a non-GAAP measure, and a reconciliation of Adjusted EBITDA to net income, the most comparable GAAP measure, is included in </w:t>
      </w:r>
      <w:r>
        <w:rPr>
          <w:rFonts w:ascii="Arial" w:cs="Arial" w:eastAsia="Arial" w:hAnsi="Arial"/>
          <w:sz w:val="18"/>
          <w:szCs w:val="18"/>
          <w:i w:val="1"/>
          <w:iCs w:val="1"/>
          <w:color w:val="auto"/>
        </w:rPr>
        <w:t>“Non-GAAP Financial Measures.”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the total dollar-value of insured loans we facilitated and the number of new contracts we signed with automotive lenders for the years ended December 31, 2022 and 2021: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w w:val="99"/>
              </w:rPr>
              <w:t>Year ended December 31,</w:t>
            </w:r>
          </w:p>
        </w:tc>
      </w:tr>
      <w:tr>
        <w:trPr>
          <w:trHeight w:val="223"/>
        </w:trPr>
        <w:tc>
          <w:tcPr>
            <w:tcW w:w="8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Certified loans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171,697</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Value of insured loans facilitated (in thousands)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4,758,597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4,331,508</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loan size per certified loans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25,228</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Number of contracts signed with automotive lenders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Historically, we have defined “active lenders” as lenders who certify at least one loan during the preceding 12 months. As of December 31, 2022 and 2021, we had 438 and 396 active lenders, respectively. The table below represents lender count information for lenders with certified loan activity during the periods indicated.</w:t>
      </w:r>
    </w:p>
    <w:p>
      <w:pPr>
        <w:spacing w:after="0" w:line="112"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Lenders certifying loans at the beginning of the period</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30"/>
        </w:trPr>
        <w:tc>
          <w:tcPr>
            <w:tcW w:w="91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New lenders </w:t>
            </w:r>
            <w:r>
              <w:rPr>
                <w:rFonts w:ascii="Arial" w:cs="Arial" w:eastAsia="Arial" w:hAnsi="Arial"/>
                <w:sz w:val="23"/>
                <w:szCs w:val="23"/>
                <w:color w:val="auto"/>
                <w:vertAlign w:val="superscript"/>
              </w:rPr>
              <w:t>(1)</w:t>
            </w: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8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change in lenders </w:t>
            </w:r>
            <w:r>
              <w:rPr>
                <w:rFonts w:ascii="Arial" w:cs="Arial" w:eastAsia="Arial" w:hAnsi="Arial"/>
                <w:sz w:val="23"/>
                <w:szCs w:val="23"/>
                <w:color w:val="auto"/>
                <w:vertAlign w:val="superscript"/>
              </w:rPr>
              <w:t>(2)</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Lenders certifying loans at the end of the period</w:t>
            </w:r>
          </w:p>
        </w:tc>
        <w:tc>
          <w:tcPr>
            <w:tcW w:w="46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0"/>
        </w:trPr>
        <w:tc>
          <w:tcPr>
            <w:tcW w:w="8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40" w:hanging="232"/>
        <w:spacing w:after="0"/>
        <w:tabs>
          <w:tab w:leader="none" w:pos="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New lenders using LPP to certify loans for the first time during the period.</w:t>
      </w:r>
    </w:p>
    <w:p>
      <w:pPr>
        <w:spacing w:after="0" w:line="59" w:lineRule="exact"/>
        <w:rPr>
          <w:rFonts w:ascii="Arial" w:cs="Arial" w:eastAsia="Arial" w:hAnsi="Arial"/>
          <w:sz w:val="16"/>
          <w:szCs w:val="16"/>
          <w:color w:val="auto"/>
        </w:rPr>
      </w:pPr>
    </w:p>
    <w:p>
      <w:pPr>
        <w:ind w:firstLine="8"/>
        <w:spacing w:after="0" w:line="293" w:lineRule="auto"/>
        <w:tabs>
          <w:tab w:leader="none" w:pos="229"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change in the number of lenders previously onboarded and using LPP to certify loans during the period. Certain lenders experience periods of inactivity followed by periods of activity, causing the lender count to fluctuate from period to period.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review several key performance measures, discussed below, to evaluate business and results, measure performance, identify trends, formulate plans and make strategic decisions. We believe that the presentation of such metrics is useful to our investors and counterparties because such metrics are used to measure and model the performance of companies such as us, with recurring revenue streams.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Certified Loans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refer to “certified loans” as the number of loans facilitated through LPP during a given period. Additionally, we refer to loans with a one-time upfront program fee payment as “single-pay” loans. For certain loans, the program fee is paid to us over 12 monthly installments and we refer to these loans as “monthly-pay” loans.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Program Fee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define “average program fee” as the total program fee revenue recognized for a period divided by the number of certified loans in that period.</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Underwriting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define “underwriting profit” as the total underwriting profit expected to be received by insurers over the expected life of the insured loans.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Earned Premium</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define “earned premium” as the total insurance premium earned by insurers in a given period. Earned premiums were $294.0 million and $223.3 million, respectively, for the years ended December 31, 2022 and 2021, respectively.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Carrier Partners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 2022, we signed a program management agreement with Arch Specialty Insurance Company, a part of Arch Capital Group Ltd., who provides credit default insurance policies for LPP, from which we earn profit share revenue and claims administration fees.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24, 2023, CNA, one of our insurance carriers, informed us of their intent not to renew their producer and claims service agreements with us when they expire on December 31, 2023. CNA will continue to provide auto loan default insurance policies for LPP certified loans until the terms of their producer and claims service agreements expire on December 31, 2023, unless mutual agreements with CNA are reached to transition new originations to our other insurance carriers prior to December 31, 2023. In addition, CNA will continue to service and provide claim funding for any of its existing default insurance policies for the remaining life of the loans associated with such policies. During the period until the expiration of these agreements, we expect to transition our customers that use CNA to our other insurance carriers.</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“Item 1A—</w:t>
      </w:r>
      <w:r>
        <w:rPr>
          <w:rFonts w:ascii="Arial" w:cs="Arial" w:eastAsia="Arial" w:hAnsi="Arial"/>
          <w:sz w:val="18"/>
          <w:szCs w:val="18"/>
          <w:i w:val="1"/>
          <w:iCs w:val="1"/>
          <w:color w:val="auto"/>
        </w:rPr>
        <w:t>Risk Factors—Risks Related to Our Business</w:t>
      </w:r>
      <w:r>
        <w:rPr>
          <w:rFonts w:ascii="Arial" w:cs="Arial" w:eastAsia="Arial" w:hAnsi="Arial"/>
          <w:sz w:val="18"/>
          <w:szCs w:val="18"/>
          <w:color w:val="auto"/>
        </w:rPr>
        <w:t>—</w:t>
      </w:r>
      <w:r>
        <w:rPr>
          <w:rFonts w:ascii="Arial" w:cs="Arial" w:eastAsia="Arial" w:hAnsi="Arial"/>
          <w:sz w:val="18"/>
          <w:szCs w:val="18"/>
          <w:i w:val="1"/>
          <w:iCs w:val="1"/>
          <w:color w:val="auto"/>
        </w:rPr>
        <w:t>If we lose one or more of our insurance carriers and are unable to replace their</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 it could have a material adverse effect on our business</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Credit Agreement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September 9, 2022, we entered into a first amendment to our existing credit agreement with Wells Fargo Bank, N.A., as the administrative agent, and the financial institutions party thereto, as the lenders (the “First Amendment”). The First Amendment provided us senior secured Credit Facilities in an aggregate principal amount of $300.0 million by (i) establishing a new senior secured term loan facility in an aggregate principal amount of $150.0 million (the “New Term Loan due 2027”) and (ii) increasing the aggregate principal amount of commitments to $150.0 million (the “New Revolving Credit Facility”), both maturing on September 9, 2027 (collectively, the “2022 Credit Agreement”). Refer to </w:t>
      </w:r>
      <w:r>
        <w:rPr>
          <w:rFonts w:ascii="Arial" w:cs="Arial" w:eastAsia="Arial" w:hAnsi="Arial"/>
          <w:sz w:val="18"/>
          <w:szCs w:val="18"/>
          <w:u w:val="single" w:color="auto"/>
          <w:color w:val="0000FF"/>
        </w:rPr>
        <w:t>Note 5—Debt</w:t>
      </w:r>
      <w:r>
        <w:rPr>
          <w:rFonts w:ascii="Arial" w:cs="Arial" w:eastAsia="Arial" w:hAnsi="Arial"/>
          <w:sz w:val="18"/>
          <w:szCs w:val="18"/>
          <w:color w:val="auto"/>
        </w:rPr>
        <w:t xml:space="preserve"> for further discussion on our 2022 Credit Agreement.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On November 17, 2022, our Board of Directors authorized the Share Repurchase Program for up to $75.0 million of our outstanding common stock, which enables us to repurchase shares of our common stock through November 17, 2023. Repurchases may be made at management’s discretion from time to time on the open market. The Share Repurchase Program may be suspended, amended, or discontinued at any time. Refer to </w:t>
      </w:r>
      <w:r>
        <w:rPr>
          <w:rFonts w:ascii="Arial" w:cs="Arial" w:eastAsia="Arial" w:hAnsi="Arial"/>
          <w:sz w:val="17"/>
          <w:szCs w:val="17"/>
          <w:u w:val="single" w:color="auto"/>
          <w:color w:val="0000FF"/>
        </w:rPr>
        <w:t>Note 7—Stockholders’ Equity</w:t>
      </w:r>
      <w:r>
        <w:rPr>
          <w:rFonts w:ascii="Arial" w:cs="Arial" w:eastAsia="Arial" w:hAnsi="Arial"/>
          <w:sz w:val="17"/>
          <w:szCs w:val="17"/>
          <w:color w:val="auto"/>
        </w:rPr>
        <w:t xml:space="preserve"> for further discussion on our Share Repurchase Program activity during the year.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Operating Results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future operating results and cash flows are dependent upon a number of opportunities, challenges and other factors, including the growth in the number of financial institutions and transaction volume, competition, profit share assumptions and industry trends and general economic conditions. Key factors affecting our operating results include the following: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the Number of Financial Institutions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growth trend in active automotive lenders using LPP is a critical variable directly affecting revenue and financial results. It influences the number of loans funded on LPP and as such, the fees we earn and the cost of the services we provide. Growth in our active automotive lender relationships will depend on our ability to retain existing as well as add new automotive lenders.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face competition to acquire and maintain automotive lenders as customers, as well as competition to facilitate the funding of near-prime and non-prime auto loans. LPP, which combines lending enablement, risk analytics, near-prime and non-prime auto loan performance data, real-time loan decisioning, risk-based pricing and auto loan default insurance, is a unique solution for which we have not identified any direct competitors. The emergence of direct competitors, providing risk, analytics and loss mitigation, which are core elements of our business, could materially impact our ability to acquire and maintain automotive lender customers. The near-prime and non-prime lending market is highly fragmented and competitive. We face competition from a diverse landscape of consumer lenders, including traditional banks and credit unions, as well as alternative technology-enabled lenders. The emergence of other insurers, in competition with our insurers, could materially impact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Share Assumptions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rely on assumptions to calculate the value of profit share revenue, which is our share of insurance partners’ underwriting profit. For example, positive change in estimates associated with historic vintages generate an increase in our contract asset, additional revenues and future expected cash flows, while negative change in estimates generate a decrease in our contract asset, a reduction in revenues and future expected cash flows. Please refer to </w:t>
      </w:r>
      <w:r>
        <w:rPr>
          <w:rFonts w:ascii="Arial" w:cs="Arial" w:eastAsia="Arial" w:hAnsi="Arial"/>
          <w:sz w:val="18"/>
          <w:szCs w:val="18"/>
          <w:u w:val="single" w:color="auto"/>
          <w:color w:val="0000FF"/>
        </w:rPr>
        <w:t>Critical</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Accounting Policies and Estimates</w:t>
      </w:r>
      <w:r>
        <w:rPr>
          <w:rFonts w:ascii="Arial" w:cs="Arial" w:eastAsia="Arial" w:hAnsi="Arial"/>
          <w:sz w:val="18"/>
          <w:szCs w:val="18"/>
          <w:color w:val="0000FF"/>
        </w:rPr>
        <w:t xml:space="preserve"> </w:t>
      </w:r>
      <w:r>
        <w:rPr>
          <w:rFonts w:ascii="Arial" w:cs="Arial" w:eastAsia="Arial" w:hAnsi="Arial"/>
          <w:sz w:val="18"/>
          <w:szCs w:val="18"/>
          <w:color w:val="000000"/>
        </w:rPr>
        <w:t>for more information on these assumptions.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Trends and General Economic Conditions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results of operations may be impacted by the relative strength of the overall economy and its effect on unemployment, consumer spending and consumer demand for automotive products. As general economic conditions improve or deteriorate, the amount of disposable income consumers have tends to fluctuate, which in turn impacts consumer spending levels and the willingness of consumers to take out loans to finance purchases. Specific economic factors such as inflation, rising interest rate levels, changes in monetary and related policies, market volatility, supply chain disruptions, consumer confidence, the impact of the pandemic and, particularly, the unemployment rate also influence consumer spending and borrowing patterns.</w:t>
      </w:r>
    </w:p>
    <w:p>
      <w:pPr>
        <w:spacing w:after="0" w:line="5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16, 2022, the U.S. government enacted the Inflation Reduction Act of 2022 (the “IR Act”) which includes, among other provisions, changes to the U.S. corporate income tax system, including a 15% minimum tax based on “adjusted financial statement income” exceeding $1 billion and a 1% excise tax on net repurchases of stock after December 31, 2022. The IR Act may impact the cost efficiency of the Share Repurchase Program.</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three largest insurance partners accounted for 34%, 11% and 10%, respectively, of our total revenue during the year ended December 31, 2022. Our two largest insurance partners accounted for 41% and 22%, respectively, of our total revenue during the year ended December 31, 2021. Termination or disruption of these relationships could materially and adversely impact our revenue. See “Item 1A—</w:t>
      </w:r>
      <w:r>
        <w:rPr>
          <w:rFonts w:ascii="Arial" w:cs="Arial" w:eastAsia="Arial" w:hAnsi="Arial"/>
          <w:sz w:val="16"/>
          <w:szCs w:val="16"/>
          <w:i w:val="1"/>
          <w:iCs w:val="1"/>
          <w:color w:val="auto"/>
        </w:rPr>
        <w:t>Risk Factors—Risks Related to Our Business</w:t>
      </w:r>
      <w:r>
        <w:rPr>
          <w:rFonts w:ascii="Arial" w:cs="Arial" w:eastAsia="Arial" w:hAnsi="Arial"/>
          <w:sz w:val="16"/>
          <w:szCs w:val="16"/>
          <w:color w:val="auto"/>
        </w:rPr>
        <w:t>—</w:t>
      </w:r>
      <w:r>
        <w:rPr>
          <w:rFonts w:ascii="Arial" w:cs="Arial" w:eastAsia="Arial" w:hAnsi="Arial"/>
          <w:sz w:val="16"/>
          <w:szCs w:val="16"/>
          <w:i w:val="1"/>
          <w:iCs w:val="1"/>
          <w:color w:val="auto"/>
        </w:rPr>
        <w:t>If we</w:t>
      </w:r>
      <w:r>
        <w:rPr>
          <w:rFonts w:ascii="Arial" w:cs="Arial" w:eastAsia="Arial" w:hAnsi="Arial"/>
          <w:sz w:val="16"/>
          <w:szCs w:val="16"/>
          <w:color w:val="auto"/>
        </w:rPr>
        <w:t xml:space="preserve"> </w:t>
      </w:r>
      <w:r>
        <w:rPr>
          <w:rFonts w:ascii="Arial" w:cs="Arial" w:eastAsia="Arial" w:hAnsi="Arial"/>
          <w:sz w:val="16"/>
          <w:szCs w:val="16"/>
          <w:i w:val="1"/>
          <w:iCs w:val="1"/>
          <w:color w:val="auto"/>
        </w:rPr>
        <w:t>lose one or more of our insurance carriers and are unable to replace their commitments, it could have a material adverse effect on our business</w:t>
      </w:r>
      <w:r>
        <w:rPr>
          <w:rFonts w:ascii="Arial" w:cs="Arial" w:eastAsia="Arial" w:hAnsi="Arial"/>
          <w:sz w:val="16"/>
          <w:szCs w:val="16"/>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 xml:space="preserve">We conduct business through one operating segment and we operate in one geographic region, the U.S. Refer to </w:t>
      </w:r>
      <w:r>
        <w:rPr>
          <w:rFonts w:ascii="Arial" w:cs="Arial" w:eastAsia="Arial" w:hAnsi="Arial"/>
          <w:sz w:val="17"/>
          <w:szCs w:val="17"/>
          <w:u w:val="single" w:color="auto"/>
          <w:color w:val="0000FF"/>
        </w:rPr>
        <w:t>Note 2—Summary of Significant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Accounting and Reporting Policies</w:t>
      </w:r>
      <w:r>
        <w:rPr>
          <w:rFonts w:ascii="Arial" w:cs="Arial" w:eastAsia="Arial" w:hAnsi="Arial"/>
          <w:sz w:val="17"/>
          <w:szCs w:val="17"/>
          <w:color w:val="0000FF"/>
        </w:rPr>
        <w:t xml:space="preserve"> </w:t>
      </w:r>
      <w:r>
        <w:rPr>
          <w:rFonts w:ascii="Arial" w:cs="Arial" w:eastAsia="Arial" w:hAnsi="Arial"/>
          <w:sz w:val="17"/>
          <w:szCs w:val="17"/>
          <w:color w:val="000000"/>
        </w:rPr>
        <w:t>of the accompanying consolidated financial statements for more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revenue is generated through three streams: (i) profit share paid to us by insurance partners, (ii) program fees paid to us by automotive lenders and (iii) claims administration service fees paid to us by insurance partners.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Profit share. </w:t>
      </w:r>
      <w:r>
        <w:rPr>
          <w:rFonts w:ascii="Arial" w:cs="Arial" w:eastAsia="Arial" w:hAnsi="Arial"/>
          <w:sz w:val="18"/>
          <w:szCs w:val="18"/>
          <w:color w:val="auto"/>
        </w:rPr>
        <w:t>Profit share represents our participation in the underwriting profit of third-party insurance partners who provide automotive lenders with credit</w:t>
      </w:r>
      <w:r>
        <w:rPr>
          <w:rFonts w:ascii="Arial" w:cs="Arial" w:eastAsia="Arial" w:hAnsi="Arial"/>
          <w:sz w:val="18"/>
          <w:szCs w:val="18"/>
          <w:i w:val="1"/>
          <w:iCs w:val="1"/>
          <w:color w:val="auto"/>
        </w:rPr>
        <w:t xml:space="preserve"> </w:t>
      </w:r>
      <w:r>
        <w:rPr>
          <w:rFonts w:ascii="Arial" w:cs="Arial" w:eastAsia="Arial" w:hAnsi="Arial"/>
          <w:sz w:val="18"/>
          <w:szCs w:val="18"/>
          <w:color w:val="auto"/>
        </w:rPr>
        <w:t>default insurance on loans those lenders make using LPP. We receive a percentage of the aggregate monthly insurance underwriting profit. Monthly insurance underwriting profit is calculated as the monthly earned premium less expenses and losses (including reserves for incurred, but not reported losses), with losses accrued and carried forward for future profit share calculations.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8" w:name="page39"/>
    <w:bookmarkEnd w:id="38"/>
    <w:p>
      <w:pPr>
        <w:jc w:val="both"/>
        <w:spacing w:after="0" w:line="296" w:lineRule="auto"/>
        <w:rPr>
          <w:sz w:val="20"/>
          <w:szCs w:val="20"/>
          <w:color w:val="auto"/>
        </w:rPr>
      </w:pPr>
      <w:r>
        <w:rPr>
          <w:rFonts w:ascii="Arial" w:cs="Arial" w:eastAsia="Arial" w:hAnsi="Arial"/>
          <w:sz w:val="16"/>
          <w:szCs w:val="16"/>
          <w:i w:val="1"/>
          <w:iCs w:val="1"/>
          <w:color w:val="auto"/>
        </w:rPr>
        <w:t>Program fees</w:t>
      </w:r>
      <w:r>
        <w:rPr>
          <w:rFonts w:ascii="Arial" w:cs="Arial" w:eastAsia="Arial" w:hAnsi="Arial"/>
          <w:sz w:val="16"/>
          <w:szCs w:val="16"/>
          <w:color w:val="auto"/>
        </w:rPr>
        <w:t>. Program fees are paid by automotive lenders for the use of LPP, which provides loan analytics solutions and automated issuance of credit</w:t>
      </w:r>
      <w:r>
        <w:rPr>
          <w:rFonts w:ascii="Arial" w:cs="Arial" w:eastAsia="Arial" w:hAnsi="Arial"/>
          <w:sz w:val="16"/>
          <w:szCs w:val="16"/>
          <w:i w:val="1"/>
          <w:iCs w:val="1"/>
          <w:color w:val="auto"/>
        </w:rPr>
        <w:t xml:space="preserve"> </w:t>
      </w:r>
      <w:r>
        <w:rPr>
          <w:rFonts w:ascii="Arial" w:cs="Arial" w:eastAsia="Arial" w:hAnsi="Arial"/>
          <w:sz w:val="16"/>
          <w:szCs w:val="16"/>
          <w:color w:val="auto"/>
        </w:rPr>
        <w:t>default insurance with third-party insurance providers. These fees are based on a percentage of each certified loan’s original principal balance and recognized as revenue upfront upon receipt of the loan by the consumer. The fee percentage rate varies by type of loan. For loans with a one-time upfront payment, there is a sliding scale of rates representing volume discounts to the lender. Fees are either capped at $600 per loan or calculated as a percentage of the funded loan amount. For monthly-pay loans, the fee paid by the lender is 3% of the initial amount of the loan and is not capped.</w:t>
      </w:r>
    </w:p>
    <w:p>
      <w:pPr>
        <w:spacing w:after="0" w:line="5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Claims administration service fees. </w:t>
      </w:r>
      <w:r>
        <w:rPr>
          <w:rFonts w:ascii="Arial" w:cs="Arial" w:eastAsia="Arial" w:hAnsi="Arial"/>
          <w:sz w:val="18"/>
          <w:szCs w:val="18"/>
          <w:color w:val="auto"/>
        </w:rPr>
        <w:t>Claims administration service fees are paid to us by third-party insurers for credit default insurance claims adjudication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performed by our subsidiary, IAS, on its insured servicing portfolio. The administration fee is equal to 3% of the monthly insurance earned premium for as long as the loan remains outstanding.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and Operating Expenses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Cost of services</w:t>
      </w:r>
      <w:r>
        <w:rPr>
          <w:rFonts w:ascii="Arial" w:cs="Arial" w:eastAsia="Arial" w:hAnsi="Arial"/>
          <w:sz w:val="17"/>
          <w:szCs w:val="17"/>
          <w:color w:val="auto"/>
        </w:rPr>
        <w:t>. Cost of services primarily consists of fees paid to third party partners for lead-generation efforts, compensation and benefits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relating to employees engaged in automotive lenders’ services and claims administration activities, fees paid for actuarial services related to the development of the monthly premium program, and fees for integration with the loan origination system of automotive lenders and fees paid to credit bureaus and data service providers for credit applicant data. In the near term, we generally expect cost of services to increase as a percentage of our program fee revenue as we continue to grow our third-party partner relationships and expand our employee support team.</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are comprised primarily of expenses relating to corporate-level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benefits, non-cash share-based compensation, travel, meals and entertainment expenses, data and software expenses and professional and consulting fees. In the near term, we expect general and administrative expenses to increase as a result of our headcount growth.</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Selling and marketing expenses</w:t>
      </w:r>
      <w:r>
        <w:rPr>
          <w:rFonts w:ascii="Arial" w:cs="Arial" w:eastAsia="Arial" w:hAnsi="Arial"/>
          <w:sz w:val="18"/>
          <w:szCs w:val="18"/>
          <w:color w:val="auto"/>
        </w:rPr>
        <w:t>. Selling and marketing expenses consist primarily of compensation and benefits expenses of employees engaged in selling</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marketing activities. We generally expect selling and marketing expenses to increase as a percentage of our program fee revenue in the near term as we continue to expand our sales and marketing team.</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Research and development expenses consist primarily of employee compensation and benefits expenses for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engaged in ongoing research and development of our software technology platform. We generally expect our research and development costs to decrease in absolute dollars as the near-term focus shifts to internal software development projects.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primarily includes interest payments and the amortization of deferred financing costs in connection with the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debt.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primarily includes interest earned on money market funds and U.S. Treasury securities.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Gain on extinguishment of tax receivable agreement. </w:t>
      </w:r>
      <w:r>
        <w:rPr>
          <w:rFonts w:ascii="Arial" w:cs="Arial" w:eastAsia="Arial" w:hAnsi="Arial"/>
          <w:sz w:val="18"/>
          <w:szCs w:val="18"/>
          <w:color w:val="auto"/>
        </w:rPr>
        <w:t>Gain on extinguishment of tax receivable agreement (“TRA”) reflects gain recognized upon the early</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our TRA with our Predecessor and affiliates in 2021.</w:t>
      </w:r>
    </w:p>
    <w:p>
      <w:pPr>
        <w:spacing w:after="0" w:line="6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Loss on extinguishment of debt primarily reflects unamortized deferred financing costs, which were written off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refinancing of our Term Loan due 2027 on March 19,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7680" w:type="dxa"/>
            <w:vAlign w:val="bottom"/>
            <w:gridSpan w:val="2"/>
          </w:tcPr>
          <w:p>
            <w:pPr>
              <w:spacing w:after="0"/>
              <w:rPr>
                <w:sz w:val="20"/>
                <w:szCs w:val="20"/>
                <w:color w:val="auto"/>
              </w:rPr>
            </w:pPr>
            <w:r>
              <w:rPr>
                <w:rFonts w:ascii="Arial" w:cs="Arial" w:eastAsia="Arial" w:hAnsi="Arial"/>
                <w:sz w:val="18"/>
                <w:szCs w:val="18"/>
                <w:color w:val="auto"/>
                <w:w w:val="91"/>
              </w:rPr>
              <w:t>The following table sets forth our results of operations for the years ended December 31, 2022 and 2021:</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1"/>
        </w:trPr>
        <w:tc>
          <w:tcPr>
            <w:tcW w:w="73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ind w:left="64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7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7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Arial" w:cs="Arial" w:eastAsia="Arial" w:hAnsi="Arial"/>
                <w:sz w:val="18"/>
                <w:szCs w:val="18"/>
                <w:i w:val="1"/>
                <w:iCs w:val="1"/>
                <w:color w:val="auto"/>
              </w:rPr>
              <w:t>($ in thousands)</w:t>
            </w:r>
          </w:p>
        </w:tc>
        <w:tc>
          <w:tcPr>
            <w:tcW w:w="1180" w:type="dxa"/>
            <w:vAlign w:val="bottom"/>
          </w:tcPr>
          <w:p>
            <w:pPr>
              <w:spacing w:after="0"/>
              <w:rPr>
                <w:sz w:val="19"/>
                <w:szCs w:val="19"/>
                <w:color w:val="auto"/>
              </w:rPr>
            </w:pP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7380" w:type="dxa"/>
            <w:vAlign w:val="bottom"/>
          </w:tcPr>
          <w:p>
            <w:pPr>
              <w:ind w:left="140"/>
              <w:spacing w:after="0"/>
              <w:rPr>
                <w:sz w:val="20"/>
                <w:szCs w:val="20"/>
                <w:color w:val="auto"/>
              </w:rPr>
            </w:pPr>
            <w:r>
              <w:rPr>
                <w:rFonts w:ascii="Arial" w:cs="Arial" w:eastAsia="Arial" w:hAnsi="Arial"/>
                <w:sz w:val="18"/>
                <w:szCs w:val="18"/>
                <w:color w:val="auto"/>
              </w:rPr>
              <w:t>Profit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90,056</w:t>
            </w:r>
          </w:p>
        </w:tc>
        <w:tc>
          <w:tcPr>
            <w:tcW w:w="16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133,215</w:t>
            </w:r>
          </w:p>
        </w:tc>
        <w:tc>
          <w:tcPr>
            <w:tcW w:w="1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230"/>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Program fees</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80,611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75,630</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r>
      <w:tr>
        <w:trPr>
          <w:trHeight w:val="229"/>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Claims administration and other service fees</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8,927</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6,810</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r>
      <w:tr>
        <w:trPr>
          <w:trHeight w:val="223"/>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179,594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215,655</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r>
      <w:tr>
        <w:trPr>
          <w:trHeight w:val="229"/>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Cost of services</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19,968</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18,621</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r>
      <w:tr>
        <w:trPr>
          <w:trHeight w:val="223"/>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159,626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197,034</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r>
      <w:tr>
        <w:trPr>
          <w:trHeight w:val="229"/>
        </w:trPr>
        <w:tc>
          <w:tcPr>
            <w:tcW w:w="7380" w:type="dxa"/>
            <w:vAlign w:val="bottom"/>
          </w:tcPr>
          <w:p>
            <w:pPr>
              <w:ind w:left="14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35,950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30,393</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17,856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12,000</w:t>
            </w:r>
          </w:p>
        </w:tc>
        <w:tc>
          <w:tcPr>
            <w:tcW w:w="1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49%</w:t>
            </w: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8,205</w:t>
            </w:r>
          </w:p>
        </w:tc>
        <w:tc>
          <w:tcPr>
            <w:tcW w:w="1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4,352</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r>
      <w:tr>
        <w:trPr>
          <w:trHeight w:val="223"/>
        </w:trPr>
        <w:tc>
          <w:tcPr>
            <w:tcW w:w="7380" w:type="dxa"/>
            <w:vAlign w:val="bottom"/>
            <w:tcBorders>
              <w:bottom w:val="single" w:sz="8" w:color="CCEEFF"/>
            </w:tcBorders>
          </w:tcPr>
          <w:p>
            <w:pPr>
              <w:ind w:left="44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62,011</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46,745</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w:t>
            </w:r>
          </w:p>
        </w:tc>
      </w:tr>
      <w:tr>
        <w:trPr>
          <w:trHeight w:val="223"/>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97,615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150,289</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w:t>
            </w: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(5,832)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(5,859)</w:t>
            </w:r>
          </w:p>
        </w:tc>
        <w:tc>
          <w:tcPr>
            <w:tcW w:w="1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837%</w:t>
            </w: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Gain on extinguishment of tax receivable agreement</w:t>
            </w:r>
          </w:p>
        </w:tc>
        <w:tc>
          <w:tcPr>
            <w:tcW w:w="300" w:type="dxa"/>
            <w:vAlign w:val="bottom"/>
          </w:tcPr>
          <w:p>
            <w:pPr>
              <w:spacing w:after="0"/>
              <w:rPr>
                <w:sz w:val="19"/>
                <w:szCs w:val="19"/>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55,422</w:t>
            </w:r>
          </w:p>
        </w:tc>
        <w:tc>
          <w:tcPr>
            <w:tcW w:w="1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(100)%</w:t>
            </w: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r>
      <w:tr>
        <w:trPr>
          <w:trHeight w:val="230"/>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r>
      <w:tr>
        <w:trPr>
          <w:trHeight w:val="223"/>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93,540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191,168</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w:t>
            </w:r>
          </w:p>
        </w:tc>
      </w:tr>
      <w:tr>
        <w:trPr>
          <w:trHeight w:val="230"/>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26,920</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45,086</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r>
      <w:tr>
        <w:trPr>
          <w:trHeight w:val="248"/>
        </w:trPr>
        <w:tc>
          <w:tcPr>
            <w:tcW w:w="7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66,620</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146,082</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key performance measures for the years ended December 31, 2022 and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6"/>
          </w:tcPr>
          <w:p>
            <w:pPr>
              <w:jc w:val="right"/>
              <w:ind w:right="87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358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Certified loans</w:t>
            </w:r>
          </w:p>
        </w:tc>
        <w:tc>
          <w:tcPr>
            <w:tcW w:w="3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171,697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3580" w:type="dxa"/>
            <w:vAlign w:val="bottom"/>
          </w:tcPr>
          <w:p>
            <w:pPr>
              <w:ind w:left="360"/>
              <w:spacing w:after="0"/>
              <w:rPr>
                <w:sz w:val="20"/>
                <w:szCs w:val="20"/>
                <w:color w:val="auto"/>
              </w:rPr>
            </w:pPr>
            <w:r>
              <w:rPr>
                <w:rFonts w:ascii="Arial" w:cs="Arial" w:eastAsia="Arial" w:hAnsi="Arial"/>
                <w:sz w:val="18"/>
                <w:szCs w:val="18"/>
                <w:color w:val="auto"/>
              </w:rPr>
              <w:t>Single-pay</w:t>
            </w:r>
          </w:p>
        </w:tc>
        <w:tc>
          <w:tcPr>
            <w:tcW w:w="3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144,959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152,629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Monthly-pay</w:t>
            </w:r>
          </w:p>
        </w:tc>
        <w:tc>
          <w:tcPr>
            <w:tcW w:w="3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Average program fees</w:t>
            </w:r>
          </w:p>
        </w:tc>
        <w:tc>
          <w:tcPr>
            <w:tcW w:w="4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Single-pay</w:t>
            </w:r>
          </w:p>
        </w:tc>
        <w:tc>
          <w:tcPr>
            <w:tcW w:w="4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3580" w:type="dxa"/>
            <w:vAlign w:val="bottom"/>
          </w:tcPr>
          <w:p>
            <w:pPr>
              <w:ind w:left="360"/>
              <w:spacing w:after="0"/>
              <w:rPr>
                <w:sz w:val="20"/>
                <w:szCs w:val="20"/>
                <w:color w:val="auto"/>
              </w:rPr>
            </w:pPr>
            <w:r>
              <w:rPr>
                <w:rFonts w:ascii="Arial" w:cs="Arial" w:eastAsia="Arial" w:hAnsi="Arial"/>
                <w:sz w:val="18"/>
                <w:szCs w:val="18"/>
                <w:color w:val="auto"/>
              </w:rPr>
              <w:t>Monthly-pay</w:t>
            </w:r>
          </w:p>
        </w:tc>
        <w:tc>
          <w:tcPr>
            <w:tcW w:w="4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863"/>
        </w:trPr>
        <w:tc>
          <w:tcPr>
            <w:tcW w:w="3580" w:type="dxa"/>
            <w:vAlign w:val="bottom"/>
          </w:tcPr>
          <w:p>
            <w:pPr>
              <w:spacing w:after="0"/>
              <w:rPr>
                <w:sz w:val="24"/>
                <w:szCs w:val="24"/>
                <w:color w:val="auto"/>
              </w:rPr>
            </w:pPr>
          </w:p>
        </w:tc>
        <w:tc>
          <w:tcPr>
            <w:tcW w:w="3760" w:type="dxa"/>
            <w:vAlign w:val="bottom"/>
          </w:tcPr>
          <w:p>
            <w:pPr>
              <w:jc w:val="right"/>
              <w:ind w:right="153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0" w:name="page41"/>
    <w:bookmarkEnd w:id="40"/>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tcPr>
          <w:p>
            <w:pPr>
              <w:spacing w:after="0"/>
              <w:rPr>
                <w:sz w:val="20"/>
                <w:szCs w:val="20"/>
                <w:color w:val="auto"/>
              </w:rPr>
            </w:pPr>
            <w:r>
              <w:rPr>
                <w:rFonts w:ascii="Arial" w:cs="Arial" w:eastAsia="Arial" w:hAnsi="Arial"/>
                <w:sz w:val="18"/>
                <w:szCs w:val="18"/>
                <w:b w:val="1"/>
                <w:bCs w:val="1"/>
                <w:i w:val="1"/>
                <w:iCs w:val="1"/>
                <w:color w:val="auto"/>
              </w:rPr>
              <w:t>Comparison of Year Ended December 31, 2022 and 2021</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24"/>
        </w:trPr>
        <w:tc>
          <w:tcPr>
            <w:tcW w:w="7960" w:type="dxa"/>
            <w:vAlign w:val="bottom"/>
          </w:tcPr>
          <w:p>
            <w:pPr>
              <w:spacing w:after="0"/>
              <w:rPr>
                <w:sz w:val="20"/>
                <w:szCs w:val="20"/>
                <w:color w:val="auto"/>
              </w:rPr>
            </w:pPr>
            <w:r>
              <w:rPr>
                <w:rFonts w:ascii="Arial" w:cs="Arial" w:eastAsia="Arial" w:hAnsi="Arial"/>
                <w:sz w:val="18"/>
                <w:szCs w:val="18"/>
                <w:i w:val="1"/>
                <w:iCs w:val="1"/>
                <w:color w:val="auto"/>
              </w:rPr>
              <w:t>Revenue</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1"/>
        </w:trPr>
        <w:tc>
          <w:tcPr>
            <w:tcW w:w="79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79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7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i w:val="1"/>
                <w:iCs w:val="1"/>
                <w:color w:val="auto"/>
              </w:rPr>
              <w:t>($ in thousands)</w:t>
            </w:r>
          </w:p>
        </w:tc>
        <w:tc>
          <w:tcPr>
            <w:tcW w:w="1020" w:type="dxa"/>
            <w:vAlign w:val="bottom"/>
          </w:tcPr>
          <w:p>
            <w:pPr>
              <w:spacing w:after="0"/>
              <w:rPr>
                <w:sz w:val="19"/>
                <w:szCs w:val="19"/>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Profit share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960" w:type="dxa"/>
            <w:vAlign w:val="bottom"/>
          </w:tcPr>
          <w:p>
            <w:pPr>
              <w:ind w:left="240"/>
              <w:spacing w:after="0"/>
              <w:rPr>
                <w:sz w:val="20"/>
                <w:szCs w:val="20"/>
                <w:color w:val="auto"/>
              </w:rPr>
            </w:pPr>
            <w:r>
              <w:rPr>
                <w:rFonts w:ascii="Arial" w:cs="Arial" w:eastAsia="Arial" w:hAnsi="Arial"/>
                <w:sz w:val="18"/>
                <w:szCs w:val="18"/>
                <w:color w:val="auto"/>
              </w:rPr>
              <w:t>New certified loan originations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95,733</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102,324</w:t>
            </w:r>
          </w:p>
        </w:tc>
      </w:tr>
      <w:tr>
        <w:trPr>
          <w:trHeight w:val="229"/>
        </w:trPr>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estimated future revenues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30,891</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Total profit share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90,056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133,215</w:t>
            </w:r>
          </w:p>
        </w:tc>
      </w:tr>
      <w:tr>
        <w:trPr>
          <w:trHeight w:val="257"/>
        </w:trPr>
        <w:tc>
          <w:tcPr>
            <w:tcW w:w="79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Program fees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80,611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75,630</w:t>
            </w:r>
          </w:p>
        </w:tc>
      </w:tr>
      <w:tr>
        <w:trPr>
          <w:trHeight w:val="257"/>
        </w:trPr>
        <w:tc>
          <w:tcPr>
            <w:tcW w:w="79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29"/>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Claims administration and other service fees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8,927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6,810</w:t>
            </w: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179,594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215,655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revenue decreased by $36.1 million, or 17%, for the year ended December 31, 2022 as compared to the year ended December 31, 2021, driven by a $43.2 million decrease in profit share revenue, which was partially offset by increased program fee and claims administration fee revenues of $5.0 million and $2.1 million respectively, as compared to the year ended December 31, 2021.</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Profit share revenue decreased by $43.2 million, or 32%, for the year ended December 31, 2022 as compared to the year ended December 31, 2021. During the year ended December 31, 2022, we recorded $95.7 million in anticipated profit share associated with 165,211 certified loans for an average of $579 per loan, as compared to $102.3 million in anticipated profit share associated with 171,697 certified loans for an average of $596 per loan during the year ended December 31, 2021.</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during the year ended December 31, 2022, we recorded a $5.7 million reduction in estimated future profit share revenues related to business in historic vintages primarily as a result of higher than anticipated prepayment rates, partially offset by lower loan default rates and severity of losses. During the year ended December 31, 2021, we recorded a $30.9 million increase in estimated future profit share revenues on certified loans originated in historic vintages primarily due to lower than anticipated prepayment rates, loan default rates and severity of losses.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Program fees revenue increased $5.0 million, or 7%, for the year ended December 31, 2022 as compared to the year ended December 31, 2021. This increase in program fees revenue was driven by an 11% increase in unit economics per certified loan, partially offset by a 4% decrease in certified loan volume, as compared to the year ended December 31, 2021.</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from claims administration and other service fees, which primarily represents 3% of our insurance partners’ annual earned premium, increased $2.1 million, or 31%, for the year ended December 31, 2022 as compared to the year ended December 31, 2021, due to a 32% increase in total earned premiums.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tcPr>
          <w:p>
            <w:pPr>
              <w:spacing w:after="0"/>
              <w:rPr>
                <w:sz w:val="20"/>
                <w:szCs w:val="20"/>
                <w:color w:val="auto"/>
              </w:rPr>
            </w:pPr>
            <w:r>
              <w:rPr>
                <w:rFonts w:ascii="Arial" w:cs="Arial" w:eastAsia="Arial" w:hAnsi="Arial"/>
                <w:sz w:val="18"/>
                <w:szCs w:val="18"/>
                <w:i w:val="1"/>
                <w:iCs w:val="1"/>
                <w:color w:val="auto"/>
              </w:rPr>
              <w:t>Cost of Services, Gross Profit and Gross Margin</w:t>
            </w: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520" w:type="dxa"/>
            <w:vAlign w:val="bottom"/>
          </w:tcPr>
          <w:p>
            <w:pPr>
              <w:spacing w:after="0"/>
              <w:rPr>
                <w:sz w:val="24"/>
                <w:szCs w:val="24"/>
                <w:color w:val="auto"/>
              </w:rPr>
            </w:pPr>
          </w:p>
        </w:tc>
        <w:tc>
          <w:tcPr>
            <w:tcW w:w="30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20" w:type="dxa"/>
            <w:vAlign w:val="bottom"/>
            <w:gridSpan w:val="3"/>
          </w:tcPr>
          <w:p>
            <w:pPr>
              <w:jc w:val="right"/>
              <w:ind w:right="470"/>
              <w:spacing w:after="0"/>
              <w:rPr>
                <w:sz w:val="20"/>
                <w:szCs w:val="20"/>
                <w:color w:val="auto"/>
              </w:rPr>
            </w:pPr>
            <w:r>
              <w:rPr>
                <w:rFonts w:ascii="Arial" w:cs="Arial" w:eastAsia="Arial" w:hAnsi="Arial"/>
                <w:sz w:val="18"/>
                <w:szCs w:val="18"/>
                <w:i w:val="1"/>
                <w:iCs w:val="1"/>
                <w:color w:val="auto"/>
              </w:rPr>
              <w:t>($ in thousands)</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179,594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215,655</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10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19,968</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18,621</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9"/>
              </w:rPr>
              <w:t>159,626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9"/>
              </w:rPr>
              <w:t>197,034</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margin</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2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89 %</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91 %</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services increased $1.3 million, or 7% during the year ended December 31, 2022, as compared to the year ended December 31, 2021, primarily due to increased fees of $1.8 million paid to third party partners for lead-generation efforts and higher employee compensation and benefit costs of $1.0 million associated with the growth of our implementation and claims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administration operations, both partially offset by one-time costs associated with customer implementation efforts of $1.5 million incurred during the year ended December 31, 2021.</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decreased by $37.4 million, or 19%, for the year ended December 31, 2022 as compared to the year ended December 31, 2021, primarily driven by a decrease in anticipated profit share on historic vintages partially offset by increases in both program fees and claims administration service fees, as discussed above.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i w:val="1"/>
                <w:iCs w:val="1"/>
                <w:color w:val="auto"/>
              </w:rPr>
              <w:t>Operating Expenses, Operating Income and Operating Margin</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51"/>
        </w:trPr>
        <w:tc>
          <w:tcPr>
            <w:tcW w:w="75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75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23"/>
        </w:trPr>
        <w:tc>
          <w:tcPr>
            <w:tcW w:w="7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gridSpan w:val="3"/>
          </w:tcPr>
          <w:p>
            <w:pPr>
              <w:jc w:val="right"/>
              <w:ind w:right="10"/>
              <w:spacing w:after="0"/>
              <w:rPr>
                <w:sz w:val="20"/>
                <w:szCs w:val="20"/>
                <w:color w:val="auto"/>
              </w:rPr>
            </w:pPr>
            <w:r>
              <w:rPr>
                <w:rFonts w:ascii="Arial" w:cs="Arial" w:eastAsia="Arial" w:hAnsi="Arial"/>
                <w:sz w:val="18"/>
                <w:szCs w:val="18"/>
                <w:i w:val="1"/>
                <w:iCs w:val="1"/>
                <w:color w:val="auto"/>
              </w:rPr>
              <w:t>($ in thousands)</w:t>
            </w:r>
          </w:p>
        </w:tc>
        <w:tc>
          <w:tcPr>
            <w:tcW w:w="1160" w:type="dxa"/>
            <w:vAlign w:val="bottom"/>
          </w:tcPr>
          <w:p>
            <w:pPr>
              <w:spacing w:after="0"/>
              <w:rPr>
                <w:sz w:val="19"/>
                <w:szCs w:val="19"/>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179,594</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215,655</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4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159,626</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197,034</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35,950</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30,393</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17,856</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12,000</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Research and development</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8,205</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4,352</w:t>
            </w:r>
          </w:p>
        </w:tc>
      </w:tr>
      <w:tr>
        <w:trPr>
          <w:trHeight w:val="223"/>
        </w:trPr>
        <w:tc>
          <w:tcPr>
            <w:tcW w:w="75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62,011</w:t>
            </w: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46,745</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97,615</w:t>
            </w: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150,289</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margin</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54 %</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70 %</w:t>
            </w: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increased by $5.6 million, or 18%, for the year ended December 31, 2022 as compared to the year ended December 31, 2021, primarily driven by higher corporate employee compensation and benefit costs of $5.3 million.</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and marketing expenses increased by $5.9 million, or 49%, for the year ended December 31, 2022 as compared to the year ended December 31, 2021, primarily driven by increases in employee compensation and benefit costs of $3.5 million, as well as increases in expenses related to travel, marketing and business development of $1.6 million associated with increased levels of business activity.</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increased by $3.9 million, or 89%, for the year ended December 31, 2022 as compared to the year ended December 31, 2021, primarily due to increases in employee compensation and benefit costs and other services associated with our investment in research and development technology of $5.1 million.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income for the year ended December 31, 2022, decreased by $52.7 million, or 35%, as compared to the year ended December 31, 2021, primarily driven by decreased estimated profit share on historic vintages, as well as increases in operating expenses related to general and administrative, selling and marketing, and research and development, as discussed above.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During the years ended December 31, 2022 and 2021, we recognized income tax expense of $26.9 million and $45.1 million, respectively. The effective tax rate for the year ended December 31, 2022 was 28.8%, as compared to an effective tax rate of 23.6% for the year ended December 31, 2021. Income tax expense decreased $18.2 million, or 40% during the year ended December 31, 2022 as compared to the year ended December 31, 2021, primarily as a result of a decrease in income before income taxes. Refer to </w:t>
      </w:r>
      <w:r>
        <w:rPr>
          <w:rFonts w:ascii="Arial" w:cs="Arial" w:eastAsia="Arial" w:hAnsi="Arial"/>
          <w:sz w:val="17"/>
          <w:szCs w:val="17"/>
          <w:u w:val="single" w:color="auto"/>
          <w:color w:val="0000FF"/>
        </w:rPr>
        <w:t>Note 14 – Income Taxes</w:t>
      </w:r>
      <w:r>
        <w:rPr>
          <w:rFonts w:ascii="Arial" w:cs="Arial" w:eastAsia="Arial" w:hAnsi="Arial"/>
          <w:sz w:val="17"/>
          <w:szCs w:val="17"/>
          <w:color w:val="auto"/>
        </w:rPr>
        <w:t xml:space="preserve"> for further discussion.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liquidity requirements are to (i) meet working capital, tax and capital expenditure needs, (ii) service and repay our indebtedness and (iii) repurchase shares of our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and Liquidity Analysis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liquidity primarily in terms of our ability to generate cash to fund operating and investing activities. A significant portion of our cash from operating activities is derived from our profit share arrangements with our insurance partners, which are subject to judgments and assumptions and is, therefore, subject to variability. We believe that our existing cash resources and revolving credit facility will provide sufficient liquidity to fund our near-term working capital needs. We regularly evaluate alternatives for managing our capital structure and liquidity profile in consideration of expected cash flows, growth and</w:t>
      </w:r>
    </w:p>
    <w:p>
      <w:pPr>
        <w:sectPr>
          <w:pgSz w:w="11900" w:h="16838" w:orient="portrait"/>
          <w:cols w:equalWidth="0" w:num="1">
            <w:col w:w="11240"/>
          </w:cols>
          <w:pgMar w:left="320" w:top="1205"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42" w:name="page43"/>
    <w:bookmarkEnd w:id="42"/>
    <w:p>
      <w:pPr>
        <w:jc w:val="both"/>
        <w:spacing w:after="0" w:line="277" w:lineRule="auto"/>
        <w:rPr>
          <w:sz w:val="20"/>
          <w:szCs w:val="20"/>
          <w:color w:val="auto"/>
        </w:rPr>
      </w:pPr>
      <w:r>
        <w:rPr>
          <w:rFonts w:ascii="Arial" w:cs="Arial" w:eastAsia="Arial" w:hAnsi="Arial"/>
          <w:sz w:val="18"/>
          <w:szCs w:val="18"/>
          <w:color w:val="auto"/>
        </w:rPr>
        <w:t xml:space="preserve">operating capital requirements and capital market conditions. Refer to </w:t>
      </w:r>
      <w:r>
        <w:rPr>
          <w:rFonts w:ascii="Arial" w:cs="Arial" w:eastAsia="Arial" w:hAnsi="Arial"/>
          <w:sz w:val="18"/>
          <w:szCs w:val="18"/>
          <w:u w:val="single" w:color="auto"/>
          <w:color w:val="0000FF"/>
        </w:rPr>
        <w:t>Critical Accounting Policies and Estimates</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Item 1A — Risk Factors</w:t>
      </w:r>
      <w:r>
        <w:rPr>
          <w:rFonts w:ascii="Arial" w:cs="Arial" w:eastAsia="Arial" w:hAnsi="Arial"/>
          <w:sz w:val="18"/>
          <w:szCs w:val="18"/>
          <w:color w:val="auto"/>
        </w:rPr>
        <w:t xml:space="preserve"> for a full description of the related estimates, assumptions, and judgments.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Based on our assessment of the underlying provisions and circumstances of our contractual obligations, other than the risks that we and other similarly situated companies face with respect to the condition of the capital markets (as described in </w:t>
      </w:r>
      <w:r>
        <w:rPr>
          <w:rFonts w:ascii="Arial" w:cs="Arial" w:eastAsia="Arial" w:hAnsi="Arial"/>
          <w:sz w:val="18"/>
          <w:szCs w:val="18"/>
          <w:color w:val="0000FF"/>
        </w:rPr>
        <w:t>Item 1A—Risk Factors</w:t>
      </w:r>
      <w:r>
        <w:rPr>
          <w:rFonts w:ascii="Arial" w:cs="Arial" w:eastAsia="Arial" w:hAnsi="Arial"/>
          <w:sz w:val="18"/>
          <w:szCs w:val="18"/>
          <w:color w:val="auto"/>
        </w:rPr>
        <w:t>), there is no known trend, demand, commitment, event, or uncertainty that is reasonably likely to occur that would have a material adverse effect on our consolidated results of operations, financial condition, or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4323715</wp:posOffset>
            </wp:positionH>
            <wp:positionV relativeFrom="paragraph">
              <wp:posOffset>-309245</wp:posOffset>
            </wp:positionV>
            <wp:extent cx="11201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The following table provides a summary of cash flow data:</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51"/>
        </w:trPr>
        <w:tc>
          <w:tcPr>
            <w:tcW w:w="8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w w:val="96"/>
              </w:rPr>
              <w:t>Year Ended December 31,</w:t>
            </w:r>
          </w:p>
        </w:tc>
      </w:tr>
      <w:tr>
        <w:trPr>
          <w:trHeight w:val="223"/>
        </w:trPr>
        <w:tc>
          <w:tcPr>
            <w:tcW w:w="8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8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i w:val="1"/>
                <w:iCs w:val="1"/>
                <w:color w:val="auto"/>
              </w:rPr>
              <w:t>(in thousands)</w:t>
            </w:r>
          </w:p>
        </w:tc>
        <w:tc>
          <w:tcPr>
            <w:tcW w:w="900" w:type="dxa"/>
            <w:vAlign w:val="bottom"/>
          </w:tcPr>
          <w:p>
            <w:pPr>
              <w:spacing w:after="0"/>
              <w:rPr>
                <w:sz w:val="19"/>
                <w:szCs w:val="19"/>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107,431</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95,156</w:t>
            </w: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(624)</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(1,987)</w:t>
            </w:r>
          </w:p>
        </w:tc>
      </w:tr>
      <w:tr>
        <w:trPr>
          <w:trHeight w:val="22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(17,797)</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(77,808)</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cash flows provided by operating activities reflect net income adjusted for certain non-cash items and changes in operating assets and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adjustments in the operating activities in the statement of 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w w:val="84"/>
              </w:rPr>
              <w:t>2021</w:t>
            </w:r>
          </w:p>
        </w:tc>
      </w:tr>
      <w:tr>
        <w:trPr>
          <w:trHeight w:val="226"/>
        </w:trPr>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i w:val="1"/>
                <w:iCs w:val="1"/>
                <w:color w:val="auto"/>
              </w:rPr>
              <w:t>($ in thousands)</w:t>
            </w:r>
          </w:p>
        </w:tc>
        <w:tc>
          <w:tcPr>
            <w:tcW w:w="880" w:type="dxa"/>
            <w:vAlign w:val="bottom"/>
          </w:tcPr>
          <w:p>
            <w:pPr>
              <w:spacing w:after="0"/>
              <w:rPr>
                <w:sz w:val="19"/>
                <w:szCs w:val="19"/>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66,620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146,082</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Deferred income taxes and other non-cash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7,742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25,536</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gain, net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(46,644)</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Change in contract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(23,763)</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other assets and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(6,055)</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107,431</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95,156</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operating activities increased by $12.3 million for the year ended December 31, 2022 as compared to the year ended December 31, 2021. The increase was primarily attributable to increased cash collections of $28.2 million related to profit share, program fees and claims administration service fee revenues and a $1.7 million reduction in interest payments. This increase was offset by increased cash payments related to cost of services and operating expenses of $8.3 million and income tax payments of $10.8 million during the year ended December 31, 2022 as compared to the year ended December 31,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2022 and 2021, net cash used in investing activities was $0.6 million and $2.0 million, respectively. For the years ended December 31, 2022 and 2021, the investments primarily related to software developed for internal use.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cash flows used in financing activities primarily consist of proceeds from debt, payments of debt and deferred financing costs, and shares repurchased.</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2022, net cash used in financing activities was $17.8 million. The cash inflow of $150.0 million relates to proceeds from our New Term Loan due 2027, which paid off our existing debt as of that date, less $1.0 million in deferred financing costs associated with the loan. Debt principal payments were $123.6 million, primarily related to payment in full of the Term Loan due 2026. In addition, we paid off all amounts outstanding under the 2021 Revolving Credit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t>Facility (as defined hereinafter) totaling $25.0 million and repurchased 2,643,306 shares of our common stock held in treasury stock for a total of $18.0 million.</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 ended December 31, 2021, net cash used in financing activities was $77.8 million. The cash used primarily consisted of $36.9 million in early termination and settlement of the TRA with our Predecessor and affiliates, $20.0 million related to our repurchase of 612,745 shares of our common stock held in treasury stock and debt principal payments of $169.2 million, primarily related to the payment in full of the Term Loan due 2027 in March 2021. In addition, we paid down the 2021 Revolving Credit Facility by $25.0 million. The cash inflow relates to $175.0 million in proceeds associated with the 2021 Credit Agreement (as defined hereinafter), which refinanced our existing debt as of that date, less $1.7 million in deferred financing costs associated with this facility.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2022, we had no amounts outstanding under our New Revolving Credit Facility and $149.1 million outstanding under our New Term Loan due 2027.</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November 17, 2022, the Board of Directors authorized the Share Repurchase Program allowing the Company to repurchase up to $75.0 million of the Company’s outstanding common stock until November 17, 2023. Repurchases may be made at management’s discretion from time to time on the open market. The Share Repurchase Program may be suspended, amended, or discontinued at any time. Pursuant to the Share Repurchase Program, the Company repurchased 2,643,306 shares at an average price of $6.80 for a total of $18.0 million during the year ended December 31, 2022, leaving $57.0 million available under our current Share Repurchase Program as of December 31, 2022. These shares were recorded to treasury stock at cost.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Adjusted EBITDA is a non-GAAP financial measure used by management to evaluate its operating performance, generate future operating plans, and make strategic decisions, including those relating to operating expenses and the allocation of internal resources. Accordingly, we believe this measure provides useful information to investors and others in understanding and evaluating our operating results in the same manner as our management and Board of Directors. This measure further provides useful analysis of period-to-period comparisons of our business, as it excludes the effect of certain non-cash items and certain variable charges. Adjusted EBITDA is defined as GAAP net income, excluding interest expense, income taxes, depreciation and amortization expense of property and equipment, share-based compensation expense, gain on extinguishment of the TRA, and loss on extinguishment of debt. Adjusted EBITDA margin is defined as Adjusted EBITDA expressed as a percentage of total revenue.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The following table presents a reconciliation of GAAP net income (loss) to Adjusted EBITDA for each of the periods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7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218"/>
        </w:trPr>
        <w:tc>
          <w:tcPr>
            <w:tcW w:w="7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i w:val="1"/>
                <w:iCs w:val="1"/>
                <w:color w:val="auto"/>
              </w:rPr>
              <w:t>($ in thousands)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66,620</w:t>
            </w:r>
          </w:p>
        </w:tc>
        <w:tc>
          <w:tcPr>
            <w:tcW w:w="14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146,082</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adjustments: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5,832</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5,859</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26,920</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45,086</w:t>
            </w:r>
          </w:p>
        </w:tc>
        <w:tc>
          <w:tcPr>
            <w:tcW w:w="0" w:type="dxa"/>
            <w:vAlign w:val="bottom"/>
          </w:tcPr>
          <w:p>
            <w:pPr>
              <w:spacing w:after="0"/>
              <w:rPr>
                <w:sz w:val="1"/>
                <w:szCs w:val="1"/>
                <w:color w:val="auto"/>
              </w:rPr>
            </w:pP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915</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5,449</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Gain on extinguishment of tax receivable agreement</w:t>
            </w:r>
          </w:p>
        </w:tc>
        <w:tc>
          <w:tcPr>
            <w:tcW w:w="36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(55,422)</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8,778</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adjustments</w:t>
            </w: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39,116</w:t>
            </w:r>
          </w:p>
        </w:tc>
        <w:tc>
          <w:tcPr>
            <w:tcW w:w="14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8,908</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105,736</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154,990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vMerge w:val="continue"/>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ind w:right="50"/>
              <w:spacing w:after="0" w:line="203" w:lineRule="exact"/>
              <w:rPr>
                <w:sz w:val="20"/>
                <w:szCs w:val="20"/>
                <w:color w:val="auto"/>
              </w:rPr>
            </w:pPr>
            <w:r>
              <w:rPr>
                <w:rFonts w:ascii="Arial" w:cs="Arial" w:eastAsia="Arial" w:hAnsi="Arial"/>
                <w:sz w:val="18"/>
                <w:szCs w:val="18"/>
                <w:b w:val="1"/>
                <w:bCs w:val="1"/>
                <w:color w:val="auto"/>
              </w:rPr>
              <w:t>179,594</w:t>
            </w:r>
          </w:p>
        </w:tc>
        <w:tc>
          <w:tcPr>
            <w:tcW w:w="140" w:type="dxa"/>
            <w:vAlign w:val="bottom"/>
          </w:tcPr>
          <w:p>
            <w:pPr>
              <w:spacing w:after="0"/>
              <w:rPr>
                <w:sz w:val="17"/>
                <w:szCs w:val="17"/>
                <w:color w:val="auto"/>
              </w:rPr>
            </w:pPr>
          </w:p>
        </w:tc>
        <w:tc>
          <w:tcPr>
            <w:tcW w:w="560" w:type="dxa"/>
            <w:vAlign w:val="bottom"/>
          </w:tcPr>
          <w:p>
            <w:pPr>
              <w:jc w:val="right"/>
              <w:ind w:right="370"/>
              <w:spacing w:after="0" w:line="203" w:lineRule="exact"/>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30"/>
              <w:spacing w:after="0" w:line="203" w:lineRule="exact"/>
              <w:rPr>
                <w:sz w:val="20"/>
                <w:szCs w:val="20"/>
                <w:color w:val="auto"/>
              </w:rPr>
            </w:pPr>
            <w:r>
              <w:rPr>
                <w:rFonts w:ascii="Arial" w:cs="Arial" w:eastAsia="Arial" w:hAnsi="Arial"/>
                <w:sz w:val="18"/>
                <w:szCs w:val="18"/>
                <w:b w:val="1"/>
                <w:bCs w:val="1"/>
                <w:color w:val="auto"/>
              </w:rPr>
              <w:t>215,655</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59 %</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72 %</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the year ended December 31, 2022, Adjusted EBITDA decreased by $49.3 million, or 32%, as compared to year ended December 31, 2021. The decrease in Adjusted EBITDA during the year ended December 31, 2022 reflects the decrease in operating income primarily driven by the decrease in estimated future revenues on historic vintages and increased operating expenses.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preparing our consolidated financial statements, we make assumptions, judgments and estimates that can have a significant impact on our revenue, income (loss) from operations and net income (loss), as well as on the value of certain assets and liabilities on our consolidated balance sheets. We base our assumptions, judgments and estimates on historical experience and various other factors that we believe to be reasonable under the circumstances. Actual results could differ materially from these estimates under different assumptions or conditions.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consolidated financial statements have been prepared in accordance with GAAP. To prepare these financial statements, we make estimates, assumption, and judgments that affect what we report as our assets and liabilities, what we disclose as contingent assets and liabilities at the date of the consolidated financial statements, and the reported amounts of revenue and expenses during the periods presented.</w:t>
      </w:r>
    </w:p>
    <w:p>
      <w:pPr>
        <w:spacing w:after="0" w:line="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accordance with our policies, we regularly evaluate our estimates, assumptions, and judgments, including, but not limited to, those concerning revenue recognition, depreciation and amortization, contingencies, share-based compensation, and income taxes, and base our estimates, assumptions, and judgments on historical experience and on factors we believe reasonable under the circumstances. The results involve judgments about the carrying values of assets and liabilities not readily apparent from other sources. If our assumptions or conditions change, the actual results we report may differ from these estimates. We believe the following critical accounting policies affect the more significant estimates, assumptions, and judgments we use to prepare these consolidated financial statements. Refer to </w:t>
      </w:r>
      <w:r>
        <w:rPr>
          <w:rFonts w:ascii="Arial" w:cs="Arial" w:eastAsia="Arial" w:hAnsi="Arial"/>
          <w:sz w:val="17"/>
          <w:szCs w:val="17"/>
          <w:u w:val="single" w:color="auto"/>
          <w:color w:val="0000FF"/>
        </w:rPr>
        <w:t>Note 2—Summary of Significant Accounting and Reporting Policies</w:t>
      </w:r>
      <w:r>
        <w:rPr>
          <w:rFonts w:ascii="Arial" w:cs="Arial" w:eastAsia="Arial" w:hAnsi="Arial"/>
          <w:sz w:val="17"/>
          <w:szCs w:val="17"/>
          <w:color w:val="auto"/>
        </w:rPr>
        <w:t xml:space="preserve"> in the accompanying consolidated financial statements for a summary of our significant accounting policies.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Share Revenue Recognition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We recognize revenue in accordance with the Financial Accounting Standards Board’s Accounting Standards Codification (“ASC”) Topic 606,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from Contracts with Customers </w:t>
      </w:r>
      <w:r>
        <w:rPr>
          <w:rFonts w:ascii="Arial" w:cs="Arial" w:eastAsia="Arial" w:hAnsi="Arial"/>
          <w:sz w:val="16"/>
          <w:szCs w:val="16"/>
          <w:color w:val="auto"/>
        </w:rPr>
        <w:t>(“ASC 606”). Application of ASC 606 requires us to make judgments and estimates related to the classification,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and recognition of revenue. Our revenue primarily consists of profit share, program fees derived from contracts with lending institutions and claims administration service fees from contracts with insurance carriers and is recognized when the contractual performance obligation is satisfied.</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primary judgment relating to the recognition of revenue is the estimation of our profit share with our insurance partners. On a quarterly basis, we use a forecast model to project loan-level earned premiums and insurance claim payments. Our forecasts are driven by our projections of prepayment rate, loan default rate and severity of loss. These forecast assumptions are derived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from an analysis of the historical performance of the active loan portfolio, prevailing default and prepayment trends, and macroeconomic projections. To the extent these forecast assumptions change, our profit share revenue will be adjusted.</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continually assess the default and prepayment assumptions of our core forecast model against reported performance and lender delinquency data. We make updates to the forecast model to ensure that default and prepayment rate projections align with actual experience.</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evaluate our forecast assumptions for prepayment rate, loan default rate and default severity of loss by performing a sensitivity analysis calculating the impact on profit share revenue of a hypothetical 10% increase and decrease in each assumption. The below table summarizes the results of the sensitivity analysis as of December 31, 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Borders>
              <w:bottom w:val="single" w:sz="8" w:color="CCEEFF"/>
            </w:tcBorders>
          </w:tcPr>
          <w:p>
            <w:pPr>
              <w:spacing w:after="0"/>
              <w:rPr>
                <w:sz w:val="20"/>
                <w:szCs w:val="20"/>
                <w:color w:val="auto"/>
              </w:rPr>
            </w:pPr>
          </w:p>
        </w:tc>
        <w:tc>
          <w:tcPr>
            <w:tcW w:w="2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Prepayment rate</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Loan default rate</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Default severity of loss</w:t>
            </w:r>
          </w:p>
        </w:tc>
        <w:tc>
          <w:tcPr>
            <w:tcW w:w="500" w:type="dxa"/>
            <w:vAlign w:val="bottom"/>
            <w:tcBorders>
              <w:bottom w:val="single" w:sz="8" w:color="auto"/>
            </w:tcBorders>
          </w:tcPr>
          <w:p>
            <w:pPr>
              <w:spacing w:after="0"/>
              <w:rPr>
                <w:sz w:val="20"/>
                <w:szCs w:val="20"/>
                <w:color w:val="auto"/>
              </w:rPr>
            </w:pPr>
          </w:p>
        </w:tc>
      </w:tr>
      <w:tr>
        <w:trPr>
          <w:trHeight w:val="223"/>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Assumption change</w:t>
            </w:r>
          </w:p>
        </w:tc>
        <w:tc>
          <w:tcPr>
            <w:tcW w:w="21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10 %</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w:t>
            </w: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Impact on revenue</w:t>
            </w:r>
          </w:p>
        </w:tc>
        <w:tc>
          <w:tcPr>
            <w:tcW w:w="2100" w:type="dxa"/>
            <w:vAlign w:val="bottom"/>
          </w:tcPr>
          <w:p>
            <w:pPr>
              <w:jc w:val="right"/>
              <w:ind w:right="750"/>
              <w:spacing w:after="0"/>
              <w:rPr>
                <w:sz w:val="20"/>
                <w:szCs w:val="20"/>
                <w:color w:val="auto"/>
              </w:rPr>
            </w:pPr>
            <w:r>
              <w:rPr>
                <w:rFonts w:ascii="Arial" w:cs="Arial" w:eastAsia="Arial" w:hAnsi="Arial"/>
                <w:sz w:val="18"/>
                <w:szCs w:val="18"/>
                <w:color w:val="auto"/>
              </w:rPr>
              <w:t>(3)%</w:t>
            </w:r>
          </w:p>
        </w:tc>
        <w:tc>
          <w:tcPr>
            <w:tcW w:w="58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0"/>
                <w:szCs w:val="20"/>
                <w:color w:val="auto"/>
              </w:rPr>
            </w:pPr>
          </w:p>
        </w:tc>
        <w:tc>
          <w:tcPr>
            <w:tcW w:w="2120" w:type="dxa"/>
            <w:vAlign w:val="bottom"/>
          </w:tcPr>
          <w:p>
            <w:pPr>
              <w:jc w:val="right"/>
              <w:ind w:right="750"/>
              <w:spacing w:after="0"/>
              <w:rPr>
                <w:sz w:val="20"/>
                <w:szCs w:val="20"/>
                <w:color w:val="auto"/>
              </w:rPr>
            </w:pPr>
            <w:r>
              <w:rPr>
                <w:rFonts w:ascii="Arial" w:cs="Arial" w:eastAsia="Arial" w:hAnsi="Arial"/>
                <w:sz w:val="18"/>
                <w:szCs w:val="18"/>
                <w:color w:val="auto"/>
              </w:rPr>
              <w:t>(6)%</w:t>
            </w:r>
          </w:p>
        </w:tc>
        <w:tc>
          <w:tcPr>
            <w:tcW w:w="60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0"/>
                <w:szCs w:val="20"/>
                <w:color w:val="auto"/>
              </w:rPr>
            </w:pPr>
          </w:p>
        </w:tc>
        <w:tc>
          <w:tcPr>
            <w:tcW w:w="2260" w:type="dxa"/>
            <w:vAlign w:val="bottom"/>
          </w:tcPr>
          <w:p>
            <w:pPr>
              <w:jc w:val="right"/>
              <w:ind w:right="890"/>
              <w:spacing w:after="0"/>
              <w:rPr>
                <w:sz w:val="20"/>
                <w:szCs w:val="20"/>
                <w:color w:val="auto"/>
              </w:rPr>
            </w:pPr>
            <w:r>
              <w:rPr>
                <w:rFonts w:ascii="Arial" w:cs="Arial" w:eastAsia="Arial" w:hAnsi="Arial"/>
                <w:sz w:val="18"/>
                <w:szCs w:val="18"/>
                <w:color w:val="auto"/>
              </w:rPr>
              <w:t>(7)%</w:t>
            </w:r>
          </w:p>
        </w:tc>
        <w:tc>
          <w:tcPr>
            <w:tcW w:w="500" w:type="dxa"/>
            <w:vAlign w:val="bottom"/>
          </w:tcPr>
          <w:p>
            <w:pPr>
              <w:jc w:val="right"/>
              <w:spacing w:after="0"/>
              <w:rPr>
                <w:sz w:val="20"/>
                <w:szCs w:val="20"/>
                <w:color w:val="auto"/>
              </w:rPr>
            </w:pPr>
            <w:r>
              <w:rPr>
                <w:rFonts w:ascii="Arial" w:cs="Arial" w:eastAsia="Arial" w:hAnsi="Arial"/>
                <w:sz w:val="18"/>
                <w:szCs w:val="18"/>
                <w:color w:val="auto"/>
              </w:rPr>
              <w:t>7 %</w:t>
            </w:r>
          </w:p>
        </w:tc>
      </w:tr>
    </w:tbl>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Prior to closing of the Business Combination, Open Lending, LLC, the sole owner of Lenders Protection and Open Lending Services, Inc., was treated as a partnership for income tax purposes. Therefore, no provision had historically been made for income tax purposes prior to the closing.</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closing, Open Lending, LLC became a disregarded entity, wholly owned by us through its wholly owned subsidiaries. As of the close of the Business Combination, we are subject to income tax on a consolidated basis.</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effective tax rate is based on income at statutory tax rates, adjusted for non-taxable and non-deductible items and tax credits. Management’s best estimate of future events and their impact is included in our effective tax rate. Certain changes or future events, such as changes in tax legislation, could have an impact on our estimates and effective tax rate. Audit periods remain open for review until the statute of limitations has passed.</w:t>
      </w:r>
    </w:p>
    <w:p>
      <w:pPr>
        <w:spacing w:after="0" w:line="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calculation of income taxes involves estimating the actual current tax liability together with assessing temporary differences in recognition of income (loss) for tax and accounting purposes. These differences result in deferred tax assets and liabilities, which are included in our consolidated balance sheets. We record a valuation allowance when it is more likely than not that some portion or all of the deferred tax assets will not be realized. In assessing the need for a valuation allowance, we are required to develop estimates of the anticipated timing of the reversal of existing deferred tax liabilities, as well as estimates of future taxable income in some instances. Judgment is inherent in this process and differences between the estimated and actual amounts could result in a material impact on our consolidated financial statements.</w:t>
      </w:r>
    </w:p>
    <w:p>
      <w:pPr>
        <w:spacing w:after="0" w:line="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recognize liabilities for uncertain tax positions based on a two-step process. The first step requires us to determine whether the weight of available evidence indicates that the tax position has met the threshold for recognition. Therefore, we must evaluate whether it is more likely than not that the position will be sustained on audit, including resolution of any related appeals or litigation processes. The second step requires us to measure the tax benefit of the tax position taken, or expected to be taken, in an income tax return as the largest amount that is more than 50% likely of being realized upon ultimate settlement. This measurement step is inherently complex and requires subjective estimations of such amounts to determine the probability of various possible outcomes. We re-evaluate the uncertain tax positions each quarter based on factors including, but not limited to, changes in facts or circumstances, changes in tax law, expirations of statutes of limitation, effectively settled issues under audit, and new audit activity. Such a change in recognition or measurement would result in the recognition of a tax benefit or an additional charge to the tax provision in the period.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Awards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measure and recognize compensation expense for all share-based awards made to employees and non-employee directors based on estimated fair values on the date of grant. To determine the fair value of the share-based awards, we use the closing price of our common stock publicly traded on the Nasdaq on the date of grant for time-based and performance-based restricted stock awards, and we utilize the Black-Scholes option pricing model to value stock options, which involves inputs for the share value of Open Lending, expected share volatility, expected term of the awards, risk-free interest rate and expected dividend. The expected volatility was based on the average of implied and observed historical volatility of comparable companies as we do not have enough history as a public company. The determination of fair value is affected by assumptions regarding a number of highly complex and subjective variables. Changes in the subjective assumptions can materially affect the estimate of their fair value.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6" w:name="page47"/>
    <w:bookmarkEnd w:id="46"/>
    <w:p>
      <w:pPr>
        <w:jc w:val="both"/>
        <w:spacing w:after="0" w:line="263" w:lineRule="auto"/>
        <w:rPr>
          <w:sz w:val="20"/>
          <w:szCs w:val="20"/>
          <w:color w:val="auto"/>
        </w:rPr>
      </w:pPr>
      <w:r>
        <w:rPr>
          <w:rFonts w:ascii="Arial" w:cs="Arial" w:eastAsia="Arial" w:hAnsi="Arial"/>
          <w:sz w:val="18"/>
          <w:szCs w:val="18"/>
          <w:color w:val="auto"/>
        </w:rPr>
        <w:t>The compensation expense is recognized on a straight-line basis over the requisite service or performance period. Performance-based restricted units (“PSUs”) are evaluated on a quarterly basis for probability of meeting performance metrics and any adjustments to share-based compensation expense are then made in the quarter of evaluation. Forfeitures are recognized as occurred.</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For PSUs, we make assumptions regarding the likelihood of achieving performance metrics. If actual results differ significantly from these estimates, share-based compensation expense and our results of operations could be materially affected. Refer to </w:t>
      </w:r>
      <w:r>
        <w:rPr>
          <w:rFonts w:ascii="Arial" w:cs="Arial" w:eastAsia="Arial" w:hAnsi="Arial"/>
          <w:sz w:val="18"/>
          <w:szCs w:val="18"/>
          <w:u w:val="single" w:color="auto"/>
          <w:color w:val="0000FF"/>
        </w:rPr>
        <w:t>Note 8—Share-Based Compensation</w:t>
      </w:r>
      <w:r>
        <w:rPr>
          <w:rFonts w:ascii="Arial" w:cs="Arial" w:eastAsia="Arial" w:hAnsi="Arial"/>
          <w:sz w:val="18"/>
          <w:szCs w:val="18"/>
          <w:color w:val="auto"/>
        </w:rPr>
        <w:t xml:space="preserve"> of the accompanying consolidated financial statements for more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u w:val="single" w:color="auto"/>
          <w:color w:val="0000FF"/>
        </w:rPr>
        <w:t>Note 2—Summary of Significant Accounting and Reporting Policies</w:t>
      </w:r>
      <w:r>
        <w:rPr>
          <w:rFonts w:ascii="Arial" w:cs="Arial" w:eastAsia="Arial" w:hAnsi="Arial"/>
          <w:sz w:val="18"/>
          <w:szCs w:val="18"/>
          <w:color w:val="auto"/>
        </w:rPr>
        <w:t xml:space="preserve"> to the accompanying consolidated financial statements for our discussion about new accounting pronouncements adopted and those pending.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of December 31, 2022, our estimated future obligations include both current and long-term obligations. For our debt described in </w:t>
      </w:r>
      <w:r>
        <w:rPr>
          <w:rFonts w:ascii="Arial" w:cs="Arial" w:eastAsia="Arial" w:hAnsi="Arial"/>
          <w:sz w:val="18"/>
          <w:szCs w:val="18"/>
          <w:u w:val="single" w:color="auto"/>
          <w:color w:val="0000FF"/>
        </w:rPr>
        <w:t>Note 5—Debt</w:t>
      </w:r>
      <w:r>
        <w:rPr>
          <w:rFonts w:ascii="Arial" w:cs="Arial" w:eastAsia="Arial" w:hAnsi="Arial"/>
          <w:sz w:val="18"/>
          <w:szCs w:val="18"/>
          <w:color w:val="auto"/>
        </w:rPr>
        <w:t xml:space="preserve">, we have a current obligation of $3.8 million and a long-term obligation of $145.3 million. Under our operating lease described in </w:t>
      </w:r>
      <w:r>
        <w:rPr>
          <w:rFonts w:ascii="Arial" w:cs="Arial" w:eastAsia="Arial" w:hAnsi="Arial"/>
          <w:sz w:val="18"/>
          <w:szCs w:val="18"/>
          <w:u w:val="single" w:color="auto"/>
          <w:color w:val="0000FF"/>
        </w:rPr>
        <w:t>Note 11—Commitments 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Contingencies</w:t>
      </w:r>
      <w:r>
        <w:rPr>
          <w:rFonts w:ascii="Arial" w:cs="Arial" w:eastAsia="Arial" w:hAnsi="Arial"/>
          <w:sz w:val="18"/>
          <w:szCs w:val="18"/>
          <w:color w:val="000000"/>
        </w:rPr>
        <w:t>, we have a current obligation of $0.6 million and a long-term obligation of $4.1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operations include activities in the U.S. These operations expose us to a variety of market risks, including the effects of changes in interest rates and changes in consumer attitudes toward vehicle ownership. We monitor and manage these financial exposures as an integral part of our overall risk management program.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normal course of business, we are exposed to market risk and have established policies designed to protect against the adverse effects of this exposure. We are exposed to risks associated with general economic conditions and the impact of the economic environment on the willingness of consumers to finance auto purchases. Consumer spending and borrowing patterns related to auto purchases are influenced by economic factors such as unemployment rates, inflation, interest rate levels, changes in monetary and related policies, market volatility, and overall consumer confidence. We also face risk from competition to acquire, maintain and develop new relationships with automotive lenders, as well as competition from a wide variety of automotive lenders who are (or are affiliated) with financial institutions and have capacity to hold loans on their balance sheets.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Risk</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rely on our three largest insurance partners for a significant portion of our profit share and claims administration service fees revenue. Termination or disruption of these relationships could materially and adversely impact our revenue.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earnings and cash flows are subject to fluctuations due to changes in interest rates on investment of available cash balances in money market funds and U.S. Treasury securities. Our New Term Loan due 2027 also exposes us to changes in short-term interest rates since interest rates on the underlying obligations are variable.</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2022, we had $149.1 million outstanding under the New Term Loan due 2027, which is scheduled to mature on September 9, 2027. There were no amounts outstanding under the New Revolving Credit Facility as of December 31, 2022. Borrowings under our 2022 Credit Agreement bear interest at a rate equal to the term Secured Overnight Financing Rate (“SOFR”) plus 0.10% (“Adjusted SOFR”) plus a spread that is based upon our total net leverage ratio. The spread ranges from 1.625% to 2.375% per annum for Adjusted SOFR loans. We are also charged an unused commitment fee that ranges from 0.15% to 0.225% per annum on the average daily unused portion of the New Revolving Credit Facility, which is paid quarterly in arrears and is based on our total net leverage ratio.</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7" w:name="page48"/>
    <w:bookmarkEnd w:id="47"/>
    <w:p>
      <w:pPr>
        <w:spacing w:after="0"/>
        <w:tabs>
          <w:tab w:leader="none" w:pos="7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and supplementary data are included in this Annual Report beginning on page F-1.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Evaluation of Disclosure Controls and Procedures.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Disclosure Controls and Procedures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the end of the period covered by this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our management, including its principal executive and principal financial officers,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Annual Report, our chief executive officer and chief financial officer concluded that, as of such date, our disclosure controls and procedures were effective at the reasonable assurance level.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Management’s Report on the Effectiveness of Internal Control over Financial Reporting</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management is responsible for establishing and maintaining adequate internal control over our financial reporting. Internal control over financial reporting is defined in Rules 13a-15(f) and 15d-15(f) promulgated under the Exchange Act as a process designed by, or under the supervision of, our principal executive and principal financial and accounting officers and effected by our Board of Directors, management and other personnel to provide reasonable assurance regarding the reliability of financial reporting and the preparation of financial statements for external purposes in accordance with GAAP. Our internal control over financial reporting includes those policies and procedures that:</w:t>
      </w:r>
    </w:p>
    <w:p>
      <w:pPr>
        <w:spacing w:after="0" w:line="6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dispositions of our assets;</w:t>
      </w:r>
    </w:p>
    <w:p>
      <w:pPr>
        <w:spacing w:after="0" w:line="128" w:lineRule="exact"/>
        <w:rPr>
          <w:rFonts w:ascii="Arial" w:cs="Arial" w:eastAsia="Arial" w:hAnsi="Arial"/>
          <w:sz w:val="17"/>
          <w:szCs w:val="17"/>
          <w:color w:val="auto"/>
        </w:rPr>
      </w:pPr>
    </w:p>
    <w:p>
      <w:pPr>
        <w:ind w:left="660" w:hanging="328"/>
        <w:spacing w:after="0" w:line="308"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38"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Management, with the participation of our principal executive and principal financial and accounting officers, assessed the effectiveness of our internal control over financial reporting as of December 31, 2022. In making this assessment, management used the criteria set forth by the Committee of Sponsoring Organizations of the Treadway Commission (“COSO”) in its 2013 Internal Control — Integrated Framework. Based on this assessment, our management has concluded that, as of December 31, 2022, our internal control over financial reporting is effective based on those criteria.</w:t>
      </w:r>
    </w:p>
    <w:p>
      <w:pPr>
        <w:spacing w:after="0" w:line="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Ernst &amp; Young LLP, the independent registered public accounting firm who audited the Company’s consolidated financial statements included in this Annual Report, has issued an attestation report on the Company’s internal control over financial reporting, which is included herein.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Changes in Internal Control over Financial Reporting</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13a-15(f) or 15d-15(f) of the Exchange Act during the period covered by this Annual Report,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9C. </w:t>
      </w:r>
      <w:r>
        <w:rPr>
          <w:rFonts w:ascii="Arial" w:cs="Arial" w:eastAsia="Arial" w:hAnsi="Arial"/>
          <w:sz w:val="15"/>
          <w:szCs w:val="15"/>
          <w:b w:val="1"/>
          <w:bCs w:val="1"/>
          <w:i w:val="1"/>
          <w:iCs w:val="1"/>
          <w:color w:val="auto"/>
        </w:rPr>
        <w:t>Disclosure Regarding Foreign Jurisdictions that Prevent Inspections.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49" w:name="page50"/>
    <w:bookmarkEnd w:id="49"/>
    <w:p>
      <w:pPr>
        <w:jc w:val="center"/>
        <w:ind w:right="180"/>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is set forth under the captions “</w:t>
      </w:r>
      <w:r>
        <w:rPr>
          <w:rFonts w:ascii="Arial" w:cs="Arial" w:eastAsia="Arial" w:hAnsi="Arial"/>
          <w:sz w:val="18"/>
          <w:szCs w:val="18"/>
          <w:i w:val="1"/>
          <w:iCs w:val="1"/>
          <w:color w:val="auto"/>
        </w:rPr>
        <w:t>Election of Directors</w:t>
      </w:r>
      <w:r>
        <w:rPr>
          <w:rFonts w:ascii="Arial" w:cs="Arial" w:eastAsia="Arial" w:hAnsi="Arial"/>
          <w:sz w:val="18"/>
          <w:szCs w:val="18"/>
          <w:color w:val="auto"/>
        </w:rPr>
        <w:t>,” “</w:t>
      </w:r>
      <w:r>
        <w:rPr>
          <w:rFonts w:ascii="Arial" w:cs="Arial" w:eastAsia="Arial" w:hAnsi="Arial"/>
          <w:sz w:val="18"/>
          <w:szCs w:val="18"/>
          <w:i w:val="1"/>
          <w:iCs w:val="1"/>
          <w:color w:val="auto"/>
        </w:rPr>
        <w:t>Delinquent Section 16(a) Reports</w:t>
      </w:r>
      <w:r>
        <w:rPr>
          <w:rFonts w:ascii="Arial" w:cs="Arial" w:eastAsia="Arial" w:hAnsi="Arial"/>
          <w:sz w:val="18"/>
          <w:szCs w:val="18"/>
          <w:color w:val="auto"/>
        </w:rPr>
        <w:t>” and “</w:t>
      </w:r>
      <w:r>
        <w:rPr>
          <w:rFonts w:ascii="Arial" w:cs="Arial" w:eastAsia="Arial" w:hAnsi="Arial"/>
          <w:sz w:val="18"/>
          <w:szCs w:val="18"/>
          <w:i w:val="1"/>
          <w:iCs w:val="1"/>
          <w:color w:val="auto"/>
        </w:rPr>
        <w:t>Board Matters</w:t>
      </w:r>
      <w:r>
        <w:rPr>
          <w:rFonts w:ascii="Arial" w:cs="Arial" w:eastAsia="Arial" w:hAnsi="Arial"/>
          <w:sz w:val="18"/>
          <w:szCs w:val="18"/>
          <w:color w:val="auto"/>
        </w:rPr>
        <w:t>” in the 2023 Proxy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set forth under the captions “</w:t>
      </w:r>
      <w:r>
        <w:rPr>
          <w:rFonts w:ascii="Arial" w:cs="Arial" w:eastAsia="Arial" w:hAnsi="Arial"/>
          <w:sz w:val="18"/>
          <w:szCs w:val="18"/>
          <w:i w:val="1"/>
          <w:iCs w:val="1"/>
          <w:color w:val="auto"/>
        </w:rPr>
        <w:t>Executive Compensation</w:t>
      </w:r>
      <w:r>
        <w:rPr>
          <w:rFonts w:ascii="Arial" w:cs="Arial" w:eastAsia="Arial" w:hAnsi="Arial"/>
          <w:sz w:val="18"/>
          <w:szCs w:val="18"/>
          <w:color w:val="auto"/>
        </w:rPr>
        <w:t>” in the 2023 Proxy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set forth under the caption “</w:t>
      </w:r>
      <w:r>
        <w:rPr>
          <w:rFonts w:ascii="Arial" w:cs="Arial" w:eastAsia="Arial" w:hAnsi="Arial"/>
          <w:sz w:val="18"/>
          <w:szCs w:val="18"/>
          <w:i w:val="1"/>
          <w:iCs w:val="1"/>
          <w:color w:val="auto"/>
        </w:rPr>
        <w:t>Security Ownership of Certain Beneficial Owners and Management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Stockholder Matters</w:t>
      </w:r>
      <w:r>
        <w:rPr>
          <w:rFonts w:ascii="Arial" w:cs="Arial" w:eastAsia="Arial" w:hAnsi="Arial"/>
          <w:sz w:val="18"/>
          <w:szCs w:val="18"/>
          <w:color w:val="auto"/>
        </w:rPr>
        <w:t>” in the 2023 Proxy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set forth under the caption “</w:t>
      </w:r>
      <w:r>
        <w:rPr>
          <w:rFonts w:ascii="Arial" w:cs="Arial" w:eastAsia="Arial" w:hAnsi="Arial"/>
          <w:sz w:val="16"/>
          <w:szCs w:val="16"/>
          <w:i w:val="1"/>
          <w:iCs w:val="1"/>
          <w:color w:val="auto"/>
        </w:rPr>
        <w:t>Certain Relationships and Related Person Transactions</w:t>
      </w:r>
      <w:r>
        <w:rPr>
          <w:rFonts w:ascii="Arial" w:cs="Arial" w:eastAsia="Arial" w:hAnsi="Arial"/>
          <w:sz w:val="16"/>
          <w:szCs w:val="16"/>
          <w:color w:val="auto"/>
        </w:rPr>
        <w:t>” in the 2023 Proxy Statement.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is set forth under the caption “</w:t>
      </w:r>
      <w:r>
        <w:rPr>
          <w:rFonts w:ascii="Arial" w:cs="Arial" w:eastAsia="Arial" w:hAnsi="Arial"/>
          <w:sz w:val="18"/>
          <w:szCs w:val="18"/>
          <w:i w:val="1"/>
          <w:iCs w:val="1"/>
          <w:color w:val="auto"/>
        </w:rPr>
        <w:t>Ratification of the Selection of Independent Registered Public Accounting Firm</w:t>
      </w:r>
      <w:r>
        <w:rPr>
          <w:rFonts w:ascii="Arial" w:cs="Arial" w:eastAsia="Arial" w:hAnsi="Arial"/>
          <w:sz w:val="18"/>
          <w:szCs w:val="18"/>
          <w:color w:val="auto"/>
        </w:rPr>
        <w:t>” in the 2023 Proxy Statement.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117" w:lineRule="exact"/>
        <w:rPr>
          <w:sz w:val="20"/>
          <w:szCs w:val="20"/>
          <w:color w:val="auto"/>
        </w:rPr>
      </w:pPr>
    </w:p>
    <w:p>
      <w:pPr>
        <w:ind w:left="920" w:hanging="264"/>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Our consolidated financial statements are included in Part IV, Item 15 of this Annual Report.</w:t>
      </w:r>
    </w:p>
    <w:p>
      <w:pPr>
        <w:spacing w:after="0" w:line="117" w:lineRule="exact"/>
        <w:rPr>
          <w:sz w:val="20"/>
          <w:szCs w:val="20"/>
          <w:color w:val="auto"/>
        </w:rPr>
      </w:pPr>
    </w:p>
    <w:p>
      <w:pPr>
        <w:ind w:left="920" w:hanging="264"/>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17" w:lineRule="exact"/>
        <w:rPr>
          <w:sz w:val="20"/>
          <w:szCs w:val="20"/>
          <w:color w:val="auto"/>
        </w:rPr>
      </w:pPr>
    </w:p>
    <w:p>
      <w:pPr>
        <w:ind w:left="1300" w:right="140"/>
        <w:spacing w:after="0" w:line="277" w:lineRule="auto"/>
        <w:rPr>
          <w:sz w:val="20"/>
          <w:szCs w:val="20"/>
          <w:color w:val="auto"/>
        </w:rPr>
      </w:pPr>
      <w:r>
        <w:rPr>
          <w:rFonts w:ascii="Arial" w:cs="Arial" w:eastAsia="Arial" w:hAnsi="Arial"/>
          <w:sz w:val="18"/>
          <w:szCs w:val="18"/>
          <w:color w:val="auto"/>
        </w:rPr>
        <w:t>All financial statement schedules are omitted because they are not applicable or the required information is included in the consolidated financial statements or notes thereto.</w:t>
      </w:r>
    </w:p>
    <w:p>
      <w:pPr>
        <w:spacing w:after="0" w:line="62" w:lineRule="exact"/>
        <w:rPr>
          <w:sz w:val="20"/>
          <w:szCs w:val="20"/>
          <w:color w:val="auto"/>
        </w:rPr>
      </w:pPr>
    </w:p>
    <w:p>
      <w:pPr>
        <w:ind w:left="920" w:hanging="264"/>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exhibits listed in (b) are filed or incorporated by reference as part of this Annual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ectPr>
          <w:pgSz w:w="11900" w:h="16838" w:orient="portrait"/>
          <w:cols w:equalWidth="0" w:num="1">
            <w:col w:w="11220"/>
          </w:cols>
          <w:pgMar w:left="320" w:top="121" w:right="359" w:bottom="1440" w:gutter="0" w:footer="0" w:header="0"/>
        </w:sectPr>
      </w:pPr>
    </w:p>
    <w:p>
      <w:pPr>
        <w:spacing w:after="0" w:line="302" w:lineRule="exact"/>
        <w:rPr>
          <w:sz w:val="20"/>
          <w:szCs w:val="20"/>
          <w:color w:val="auto"/>
        </w:rPr>
      </w:pPr>
    </w:p>
    <w:p>
      <w:pPr>
        <w:jc w:val="right"/>
        <w:ind w:right="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4972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03"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3.1</w:t>
      </w:r>
    </w:p>
    <w:p>
      <w:pPr>
        <w:spacing w:after="0" w:line="200" w:lineRule="exact"/>
        <w:rPr>
          <w:sz w:val="20"/>
          <w:szCs w:val="20"/>
          <w:color w:val="auto"/>
        </w:rPr>
      </w:pPr>
    </w:p>
    <w:p>
      <w:pPr>
        <w:spacing w:after="0" w:line="20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3.2</w:t>
      </w:r>
    </w:p>
    <w:p>
      <w:pPr>
        <w:spacing w:after="0" w:line="200" w:lineRule="exact"/>
        <w:rPr>
          <w:sz w:val="20"/>
          <w:szCs w:val="20"/>
          <w:color w:val="auto"/>
        </w:rPr>
      </w:pPr>
    </w:p>
    <w:p>
      <w:pPr>
        <w:spacing w:after="0" w:line="20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4.1</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40640</wp:posOffset>
            </wp:positionV>
            <wp:extent cx="64808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111" w:lineRule="exact"/>
        <w:rPr>
          <w:sz w:val="20"/>
          <w:szCs w:val="20"/>
          <w:color w:val="auto"/>
        </w:rPr>
      </w:pPr>
    </w:p>
    <w:p>
      <w:pPr>
        <w:jc w:val="both"/>
        <w:spacing w:after="0" w:line="311" w:lineRule="auto"/>
        <w:rPr>
          <w:rFonts w:ascii="Arial" w:cs="Arial" w:eastAsia="Arial" w:hAnsi="Arial"/>
          <w:sz w:val="16"/>
          <w:szCs w:val="16"/>
          <w:u w:val="single" w:color="auto"/>
          <w:color w:val="0000FF"/>
        </w:rPr>
      </w:pPr>
      <w:hyperlink r:id="rId70">
        <w:r>
          <w:rPr>
            <w:rFonts w:ascii="Arial" w:cs="Arial" w:eastAsia="Arial" w:hAnsi="Arial"/>
            <w:sz w:val="16"/>
            <w:szCs w:val="16"/>
            <w:u w:val="single" w:color="auto"/>
            <w:color w:val="0000FF"/>
          </w:rPr>
          <w:t>Business Combination Agreement, dated as of January 5, 2020, by and among Nebula, Blocker, Blocker Holder, ParentCo, Merger Sub</w:t>
        </w:r>
      </w:hyperlink>
      <w:r>
        <w:rPr>
          <w:rFonts w:ascii="Arial" w:cs="Arial" w:eastAsia="Arial" w:hAnsi="Arial"/>
          <w:sz w:val="16"/>
          <w:szCs w:val="16"/>
          <w:u w:val="single" w:color="auto"/>
          <w:color w:val="0000FF"/>
        </w:rPr>
        <w:t xml:space="preserve"> </w:t>
      </w:r>
      <w:hyperlink r:id="rId70">
        <w:r>
          <w:rPr>
            <w:rFonts w:ascii="Arial" w:cs="Arial" w:eastAsia="Arial" w:hAnsi="Arial"/>
            <w:sz w:val="16"/>
            <w:szCs w:val="16"/>
            <w:u w:val="single" w:color="auto"/>
            <w:color w:val="0000FF"/>
          </w:rPr>
          <w:t>LLC, Merger Sub Corp, Open Lending, and Shareholder Representative Services LLC, as the Securityholder Representative (incorporated</w:t>
        </w:r>
      </w:hyperlink>
      <w:r>
        <w:rPr>
          <w:rFonts w:ascii="Arial" w:cs="Arial" w:eastAsia="Arial" w:hAnsi="Arial"/>
          <w:sz w:val="16"/>
          <w:szCs w:val="16"/>
          <w:u w:val="single" w:color="auto"/>
          <w:color w:val="0000FF"/>
        </w:rPr>
        <w:t xml:space="preserve"> </w:t>
      </w:r>
      <w:hyperlink r:id="rId70">
        <w:r>
          <w:rPr>
            <w:rFonts w:ascii="Arial" w:cs="Arial" w:eastAsia="Arial" w:hAnsi="Arial"/>
            <w:sz w:val="16"/>
            <w:szCs w:val="16"/>
            <w:u w:val="single" w:color="auto"/>
            <w:color w:val="0000FF"/>
          </w:rPr>
          <w:t>by reference to Annex A of ParentCo’s Registration Statement on Form S-4 (Reg. No. 333-237264), filed with the SEC on May 20, 2020).</w:t>
        </w:r>
      </w:hyperlink>
    </w:p>
    <w:p>
      <w:pPr>
        <w:spacing w:after="0" w:line="41" w:lineRule="exact"/>
        <w:rPr>
          <w:rFonts w:ascii="Arial" w:cs="Arial" w:eastAsia="Arial" w:hAnsi="Arial"/>
          <w:sz w:val="16"/>
          <w:szCs w:val="16"/>
          <w:u w:val="single" w:color="auto"/>
          <w:color w:val="0000FF"/>
        </w:rPr>
      </w:pPr>
    </w:p>
    <w:p>
      <w:pPr>
        <w:jc w:val="both"/>
        <w:spacing w:after="0" w:line="259" w:lineRule="auto"/>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Amendment No. 1 and Waiver, dated as of March 18, 2020, to the Business Combination Agreement, by and among Nebula, Blocker,</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Blocker Holder, ParentCo, Merger Sub LLC, Merger Sub Corp, Open Lending, and Shareholder Representative Services LLC, as the</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Securityholder Representative (incorporated by reference to Exhibit 2.2 to ParentCo’s Registration Statement on Form S-4 (Reg. No. 333-</w:t>
        </w:r>
      </w:hyperlink>
      <w:hyperlink r:id="rId71">
        <w:r>
          <w:rPr>
            <w:rFonts w:ascii="Arial" w:cs="Arial" w:eastAsia="Arial" w:hAnsi="Arial"/>
            <w:sz w:val="18"/>
            <w:szCs w:val="18"/>
            <w:u w:val="single" w:color="auto"/>
            <w:color w:val="0000FF"/>
          </w:rPr>
          <w:t>237264), filed with the SEC on March 18, 2020).</w:t>
        </w:r>
      </w:hyperlink>
    </w:p>
    <w:p>
      <w:pPr>
        <w:spacing w:after="0" w:line="79" w:lineRule="exact"/>
        <w:rPr>
          <w:rFonts w:ascii="Arial" w:cs="Arial" w:eastAsia="Arial" w:hAnsi="Arial"/>
          <w:sz w:val="18"/>
          <w:szCs w:val="18"/>
          <w:u w:val="single" w:color="auto"/>
          <w:color w:val="0000FF"/>
        </w:rPr>
      </w:pPr>
    </w:p>
    <w:p>
      <w:pPr>
        <w:jc w:val="both"/>
        <w:spacing w:after="0" w:line="286" w:lineRule="auto"/>
        <w:rPr>
          <w:rFonts w:ascii="Arial" w:cs="Arial" w:eastAsia="Arial" w:hAnsi="Arial"/>
          <w:sz w:val="17"/>
          <w:szCs w:val="17"/>
          <w:u w:val="single" w:color="auto"/>
          <w:color w:val="0000FF"/>
        </w:rPr>
      </w:pPr>
      <w:hyperlink r:id="rId72">
        <w:r>
          <w:rPr>
            <w:rFonts w:ascii="Arial" w:cs="Arial" w:eastAsia="Arial" w:hAnsi="Arial"/>
            <w:sz w:val="17"/>
            <w:szCs w:val="17"/>
            <w:u w:val="single" w:color="auto"/>
            <w:color w:val="0000FF"/>
          </w:rPr>
          <w:t>Amendment No. 2 and Consent, dated as of March 26, 2020, to the Business Combination Agreement by and among Nebula, Blocker,</w:t>
        </w:r>
      </w:hyperlink>
      <w:r>
        <w:rPr>
          <w:rFonts w:ascii="Arial" w:cs="Arial" w:eastAsia="Arial" w:hAnsi="Arial"/>
          <w:sz w:val="17"/>
          <w:szCs w:val="17"/>
          <w:u w:val="single" w:color="auto"/>
          <w:color w:val="0000FF"/>
        </w:rPr>
        <w:t xml:space="preserve"> </w:t>
      </w:r>
      <w:hyperlink r:id="rId72">
        <w:r>
          <w:rPr>
            <w:rFonts w:ascii="Arial" w:cs="Arial" w:eastAsia="Arial" w:hAnsi="Arial"/>
            <w:sz w:val="17"/>
            <w:szCs w:val="17"/>
            <w:u w:val="single" w:color="auto"/>
            <w:color w:val="0000FF"/>
          </w:rPr>
          <w:t>Blocker Holder, ParentCo, Merger Sub LLC, Merger Sub Corp, Open Lending, and Shareholder Representative Services LLC, as the</w:t>
        </w:r>
      </w:hyperlink>
      <w:r>
        <w:rPr>
          <w:rFonts w:ascii="Arial" w:cs="Arial" w:eastAsia="Arial" w:hAnsi="Arial"/>
          <w:sz w:val="17"/>
          <w:szCs w:val="17"/>
          <w:u w:val="single" w:color="auto"/>
          <w:color w:val="0000FF"/>
        </w:rPr>
        <w:t xml:space="preserve"> </w:t>
      </w:r>
      <w:hyperlink r:id="rId72">
        <w:r>
          <w:rPr>
            <w:rFonts w:ascii="Arial" w:cs="Arial" w:eastAsia="Arial" w:hAnsi="Arial"/>
            <w:sz w:val="17"/>
            <w:szCs w:val="17"/>
            <w:u w:val="single" w:color="auto"/>
            <w:color w:val="0000FF"/>
          </w:rPr>
          <w:t>Securityholder Representative (incorporated by reference to Exhibit 2.3 to Nebula’s Current Report on Form 8-K filed March 27, 2020).</w:t>
        </w:r>
      </w:hyperlink>
    </w:p>
    <w:p>
      <w:pPr>
        <w:spacing w:after="0" w:line="57" w:lineRule="exact"/>
        <w:rPr>
          <w:rFonts w:ascii="Arial" w:cs="Arial" w:eastAsia="Arial" w:hAnsi="Arial"/>
          <w:sz w:val="17"/>
          <w:szCs w:val="17"/>
          <w:u w:val="single" w:color="auto"/>
          <w:color w:val="0000FF"/>
        </w:rPr>
      </w:pPr>
    </w:p>
    <w:p>
      <w:pPr>
        <w:jc w:val="both"/>
        <w:spacing w:after="0" w:line="259" w:lineRule="auto"/>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Amendment No. 3 and Consent, dated as of May 13, 2020, to the Business Combination Agreement by and among Nebula, Blocker, Blocker</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Holder, ParentCo, Merger Sub LLC, Merger Sub Corp, Open Lending, and Shareholder Representative Services LLC, as the Securityholder</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Representative (incorporated by reference to Exhibit 2.4 to ParentCo’s Registration Statement on Form S-4 (Reg. No. 333-237264), filed</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with the SEC on May 13, 2020).</w:t>
        </w:r>
      </w:hyperlink>
    </w:p>
    <w:p>
      <w:pPr>
        <w:spacing w:after="0" w:line="79" w:lineRule="exact"/>
        <w:rPr>
          <w:rFonts w:ascii="Arial" w:cs="Arial" w:eastAsia="Arial" w:hAnsi="Arial"/>
          <w:sz w:val="18"/>
          <w:szCs w:val="18"/>
          <w:u w:val="single" w:color="auto"/>
          <w:color w:val="0000FF"/>
        </w:rPr>
      </w:pPr>
    </w:p>
    <w:p>
      <w:pPr>
        <w:jc w:val="both"/>
        <w:spacing w:after="0" w:line="277" w:lineRule="auto"/>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Amended and Restated Certificate of Incorporation of Open Lending Corporation (incorporated by reference to Exhibit 3.1 to Open Lending</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Corporation’s Current Report on Form 8-K filed June 15, 2020).</w:t>
        </w:r>
      </w:hyperlink>
    </w:p>
    <w:p>
      <w:pPr>
        <w:spacing w:after="0" w:line="62" w:lineRule="exact"/>
        <w:rPr>
          <w:sz w:val="20"/>
          <w:szCs w:val="20"/>
          <w:color w:val="auto"/>
        </w:rPr>
      </w:pPr>
    </w:p>
    <w:p>
      <w:pPr>
        <w:jc w:val="both"/>
        <w:spacing w:after="0" w:line="277" w:lineRule="auto"/>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Amended and Restated Bylaws of Open Lending Corporation (incorporated by reference to Exhibit 3.2 to Open Lending Corporation’s</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Current Report on Form 8-K filed June 15, 2020).</w:t>
        </w:r>
      </w:hyperlink>
    </w:p>
    <w:p>
      <w:pPr>
        <w:spacing w:after="0" w:line="62" w:lineRule="exact"/>
        <w:rPr>
          <w:sz w:val="20"/>
          <w:szCs w:val="20"/>
          <w:color w:val="auto"/>
        </w:rPr>
      </w:pPr>
    </w:p>
    <w:p>
      <w:pPr>
        <w:jc w:val="both"/>
        <w:spacing w:after="0" w:line="277" w:lineRule="auto"/>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Description of Registrant’s Securities (incorporated by reference to Exhibit 4.4 to Open Lending Corporation’s Annual Report on Form 10-K</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filed March 16, 2021).</w:t>
        </w:r>
      </w:hyperlink>
    </w:p>
    <w:p>
      <w:pPr>
        <w:spacing w:after="0" w:line="62" w:lineRule="exact"/>
        <w:rPr>
          <w:sz w:val="20"/>
          <w:szCs w:val="20"/>
          <w:color w:val="auto"/>
        </w:rPr>
      </w:pPr>
    </w:p>
    <w:p>
      <w:pPr>
        <w:jc w:val="both"/>
        <w:spacing w:after="0" w:line="263" w:lineRule="auto"/>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Founder Support Agreement, dated as of January 5, 2020, by and among Nebula, ParentCo, Open Lending, the Sponsor, Adam H. Clammer,</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James H. Greene, Jr., Rufina Adams, David Kerko, Frank Kern, James C. Hale and Ronald Lamb (incorporated by reference to Exhibit 10.1</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to Nebula’s Current Report on Form 8-K filed January 6, 2020).</w:t>
        </w:r>
      </w:hyperlink>
    </w:p>
    <w:p>
      <w:pPr>
        <w:spacing w:after="0" w:line="76" w:lineRule="exact"/>
        <w:rPr>
          <w:rFonts w:ascii="Arial" w:cs="Arial" w:eastAsia="Arial" w:hAnsi="Arial"/>
          <w:sz w:val="18"/>
          <w:szCs w:val="18"/>
          <w:u w:val="single" w:color="auto"/>
          <w:color w:val="0000FF"/>
        </w:rPr>
      </w:pPr>
    </w:p>
    <w:p>
      <w:pPr>
        <w:jc w:val="both"/>
        <w:spacing w:after="0" w:line="263" w:lineRule="auto"/>
        <w:rPr>
          <w:rFonts w:ascii="Arial" w:cs="Arial" w:eastAsia="Arial" w:hAnsi="Arial"/>
          <w:sz w:val="18"/>
          <w:szCs w:val="18"/>
          <w:u w:val="single" w:color="auto"/>
          <w:color w:val="0000FF"/>
        </w:rPr>
      </w:pPr>
      <w:hyperlink r:id="rId78">
        <w:r>
          <w:rPr>
            <w:rFonts w:ascii="Arial" w:cs="Arial" w:eastAsia="Arial" w:hAnsi="Arial"/>
            <w:sz w:val="18"/>
            <w:szCs w:val="18"/>
            <w:u w:val="single" w:color="auto"/>
            <w:color w:val="0000FF"/>
          </w:rPr>
          <w:t>Amendment No. 1, dated as of March 18, 2020, to the Founder Support Agreement, by and among Nebula, ParentCo, Open Lending, the</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Sponsor, Adam H. Clammer, James H. Greene, Jr., Rufina Adams, David Kerko, James C. Hale and Ronald Lamb (incorporated by</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reference to Exhibit 10.2 to Nebula’s Current Report on Form 8-K filed March 18, 2020).</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500" w:space="560"/>
            <w:col w:w="10160"/>
          </w:cols>
          <w:pgMar w:left="320" w:top="121" w:right="359" w:bottom="1440" w:gutter="0" w:footer="0" w:header="0"/>
          <w:type w:val="continuous"/>
        </w:sectPr>
      </w:pPr>
    </w:p>
    <w:p>
      <w:pPr>
        <w:spacing w:after="0" w:line="200" w:lineRule="exact"/>
        <w:rPr>
          <w:rFonts w:ascii="Arial" w:cs="Arial" w:eastAsia="Arial" w:hAnsi="Arial"/>
          <w:sz w:val="18"/>
          <w:szCs w:val="18"/>
          <w:u w:val="single" w:color="auto"/>
          <w:color w:val="0000FF"/>
        </w:rPr>
      </w:pPr>
    </w:p>
    <w:p>
      <w:pPr>
        <w:spacing w:after="0" w:line="297"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1060" w:type="dxa"/>
            <w:vAlign w:val="bottom"/>
          </w:tcPr>
          <w:p>
            <w:pPr>
              <w:jc w:val="center"/>
              <w:ind w:right="217"/>
              <w:spacing w:after="0"/>
              <w:rPr>
                <w:sz w:val="20"/>
                <w:szCs w:val="20"/>
                <w:color w:val="auto"/>
              </w:rPr>
            </w:pPr>
            <w:r>
              <w:rPr>
                <w:rFonts w:ascii="Arial" w:cs="Arial" w:eastAsia="Arial" w:hAnsi="Arial"/>
                <w:sz w:val="13"/>
                <w:szCs w:val="13"/>
                <w:color w:val="auto"/>
                <w:w w:val="86"/>
              </w:rPr>
              <w:t>10.3</w:t>
            </w:r>
          </w:p>
        </w:tc>
        <w:tc>
          <w:tcPr>
            <w:tcW w:w="10200" w:type="dxa"/>
            <w:vAlign w:val="bottom"/>
            <w:tcBorders>
              <w:bottom w:val="single" w:sz="8" w:color="0000FF"/>
            </w:tcBorders>
            <w:gridSpan w:val="18"/>
          </w:tcPr>
          <w:p>
            <w:pPr>
              <w:spacing w:after="0"/>
              <w:rPr>
                <w:rFonts w:ascii="Arial" w:cs="Arial" w:eastAsia="Arial" w:hAnsi="Arial"/>
                <w:sz w:val="18"/>
                <w:szCs w:val="18"/>
                <w:color w:val="0000FF"/>
                <w:w w:val="94"/>
              </w:rPr>
            </w:pPr>
            <w:hyperlink r:id="rId80">
              <w:r>
                <w:rPr>
                  <w:rFonts w:ascii="Arial" w:cs="Arial" w:eastAsia="Arial" w:hAnsi="Arial"/>
                  <w:sz w:val="18"/>
                  <w:szCs w:val="18"/>
                  <w:color w:val="0000FF"/>
                  <w:w w:val="94"/>
                </w:rPr>
                <w:t>Amendment No. 2, dated as of May 13, 2020, to the Founder Support Agreement, by and among Nebula, ParentCo, Open Lending, the</w:t>
              </w:r>
            </w:hyperlink>
          </w:p>
        </w:tc>
        <w:tc>
          <w:tcPr>
            <w:tcW w:w="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220" w:type="dxa"/>
            <w:vAlign w:val="bottom"/>
            <w:tcBorders>
              <w:bottom w:val="single" w:sz="8" w:color="0000FF"/>
            </w:tcBorders>
            <w:gridSpan w:val="19"/>
          </w:tcPr>
          <w:p>
            <w:pPr>
              <w:spacing w:after="0" w:line="196" w:lineRule="exact"/>
              <w:rPr>
                <w:rFonts w:ascii="Arial" w:cs="Arial" w:eastAsia="Arial" w:hAnsi="Arial"/>
                <w:sz w:val="18"/>
                <w:szCs w:val="18"/>
                <w:color w:val="0000FF"/>
                <w:w w:val="97"/>
              </w:rPr>
            </w:pPr>
            <w:hyperlink r:id="rId80">
              <w:r>
                <w:rPr>
                  <w:rFonts w:ascii="Arial" w:cs="Arial" w:eastAsia="Arial" w:hAnsi="Arial"/>
                  <w:sz w:val="18"/>
                  <w:szCs w:val="18"/>
                  <w:color w:val="0000FF"/>
                  <w:w w:val="97"/>
                </w:rPr>
                <w:t>Sponsor, Adam H. Clammer, James H. Greene, Jr., Rufina Adams, David Kerko, James C. Hale and Ronald Lamb (incorporated by</w:t>
              </w:r>
            </w:hyperlink>
          </w:p>
        </w:tc>
      </w:tr>
      <w:tr>
        <w:trPr>
          <w:trHeight w:val="196"/>
        </w:trPr>
        <w:tc>
          <w:tcPr>
            <w:tcW w:w="1060" w:type="dxa"/>
            <w:vAlign w:val="bottom"/>
          </w:tcPr>
          <w:p>
            <w:pPr>
              <w:spacing w:after="0"/>
              <w:rPr>
                <w:sz w:val="17"/>
                <w:szCs w:val="17"/>
                <w:color w:val="auto"/>
              </w:rPr>
            </w:pPr>
          </w:p>
        </w:tc>
        <w:tc>
          <w:tcPr>
            <w:tcW w:w="630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80">
              <w:r>
                <w:rPr>
                  <w:rFonts w:ascii="Arial" w:cs="Arial" w:eastAsia="Arial" w:hAnsi="Arial"/>
                  <w:sz w:val="18"/>
                  <w:szCs w:val="18"/>
                  <w:color w:val="0000FF"/>
                  <w:w w:val="92"/>
                </w:rPr>
                <w:t>reference to Exhibit 10.3 to Nebula’s Current Report on Form 8-K filed May 13, 2020).</w:t>
              </w:r>
            </w:hyperlink>
          </w:p>
        </w:tc>
        <w:tc>
          <w:tcPr>
            <w:tcW w:w="3920" w:type="dxa"/>
            <w:vAlign w:val="bottom"/>
            <w:gridSpan w:val="9"/>
          </w:tcPr>
          <w:p>
            <w:pPr>
              <w:spacing w:after="0"/>
              <w:rPr>
                <w:sz w:val="17"/>
                <w:szCs w:val="17"/>
                <w:color w:val="auto"/>
              </w:rPr>
            </w:pPr>
          </w:p>
        </w:tc>
      </w:tr>
      <w:tr>
        <w:trPr>
          <w:trHeight w:val="304"/>
        </w:trPr>
        <w:tc>
          <w:tcPr>
            <w:tcW w:w="1060" w:type="dxa"/>
            <w:vAlign w:val="bottom"/>
          </w:tcPr>
          <w:p>
            <w:pPr>
              <w:jc w:val="center"/>
              <w:ind w:right="217"/>
              <w:spacing w:after="0"/>
              <w:rPr>
                <w:sz w:val="20"/>
                <w:szCs w:val="20"/>
                <w:color w:val="auto"/>
              </w:rPr>
            </w:pPr>
            <w:r>
              <w:rPr>
                <w:rFonts w:ascii="Arial" w:cs="Arial" w:eastAsia="Arial" w:hAnsi="Arial"/>
                <w:sz w:val="13"/>
                <w:szCs w:val="13"/>
                <w:color w:val="auto"/>
                <w:w w:val="86"/>
              </w:rPr>
              <w:t>10.4</w:t>
            </w:r>
          </w:p>
        </w:tc>
        <w:tc>
          <w:tcPr>
            <w:tcW w:w="10220" w:type="dxa"/>
            <w:vAlign w:val="bottom"/>
            <w:gridSpan w:val="19"/>
          </w:tcPr>
          <w:p>
            <w:pPr>
              <w:spacing w:after="0"/>
              <w:rPr>
                <w:rFonts w:ascii="Arial" w:cs="Arial" w:eastAsia="Arial" w:hAnsi="Arial"/>
                <w:sz w:val="18"/>
                <w:szCs w:val="18"/>
                <w:color w:val="0000FF"/>
                <w:w w:val="94"/>
              </w:rPr>
            </w:pPr>
            <w:hyperlink r:id="rId81">
              <w:r>
                <w:rPr>
                  <w:rFonts w:ascii="Arial" w:cs="Arial" w:eastAsia="Arial" w:hAnsi="Arial"/>
                  <w:sz w:val="18"/>
                  <w:szCs w:val="18"/>
                  <w:color w:val="0000FF"/>
                  <w:w w:val="94"/>
                </w:rPr>
                <w:t>Form of Investor Support Agreement (incorporated by reference to Exhibit 10.2 to Nebula’s Current Report on Form 8-K filed January 6,</w:t>
              </w:r>
            </w:hyperlink>
          </w:p>
        </w:tc>
      </w:tr>
      <w:tr>
        <w:trPr>
          <w:trHeight w:val="196"/>
        </w:trPr>
        <w:tc>
          <w:tcPr>
            <w:tcW w:w="106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81">
              <w:r>
                <w:rPr>
                  <w:rFonts w:ascii="Arial" w:cs="Arial" w:eastAsia="Arial" w:hAnsi="Arial"/>
                  <w:sz w:val="18"/>
                  <w:szCs w:val="18"/>
                  <w:color w:val="0000FF"/>
                  <w:w w:val="86"/>
                </w:rPr>
                <w:t>2020).</w:t>
              </w:r>
            </w:hyperlink>
          </w:p>
        </w:tc>
        <w:tc>
          <w:tcPr>
            <w:tcW w:w="11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38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7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060" w:type="dxa"/>
            <w:vAlign w:val="bottom"/>
          </w:tcPr>
          <w:p>
            <w:pPr>
              <w:jc w:val="center"/>
              <w:ind w:right="217"/>
              <w:spacing w:after="0"/>
              <w:rPr>
                <w:sz w:val="20"/>
                <w:szCs w:val="20"/>
                <w:color w:val="auto"/>
              </w:rPr>
            </w:pPr>
            <w:r>
              <w:rPr>
                <w:rFonts w:ascii="Arial" w:cs="Arial" w:eastAsia="Arial" w:hAnsi="Arial"/>
                <w:sz w:val="13"/>
                <w:szCs w:val="13"/>
                <w:color w:val="auto"/>
                <w:w w:val="86"/>
              </w:rPr>
              <w:t>10.5</w:t>
            </w:r>
          </w:p>
        </w:tc>
        <w:tc>
          <w:tcPr>
            <w:tcW w:w="10160" w:type="dxa"/>
            <w:vAlign w:val="bottom"/>
            <w:tcBorders>
              <w:bottom w:val="single" w:sz="8" w:color="0000FF"/>
            </w:tcBorders>
            <w:gridSpan w:val="16"/>
          </w:tcPr>
          <w:p>
            <w:pPr>
              <w:spacing w:after="0"/>
              <w:rPr>
                <w:rFonts w:ascii="Arial" w:cs="Arial" w:eastAsia="Arial" w:hAnsi="Arial"/>
                <w:sz w:val="18"/>
                <w:szCs w:val="18"/>
                <w:color w:val="0000FF"/>
                <w:w w:val="91"/>
              </w:rPr>
            </w:pPr>
            <w:hyperlink r:id="rId82">
              <w:r>
                <w:rPr>
                  <w:rFonts w:ascii="Arial" w:cs="Arial" w:eastAsia="Arial" w:hAnsi="Arial"/>
                  <w:sz w:val="18"/>
                  <w:szCs w:val="18"/>
                  <w:color w:val="0000FF"/>
                  <w:w w:val="91"/>
                </w:rPr>
                <w:t>Company Support Agreement, dated as of January 5, 2020, by and among Nebula, Bregal Investments, Inc., BRP Hold 11, Inc., Bee Cave</w:t>
              </w:r>
            </w:hyperlink>
          </w:p>
        </w:tc>
        <w:tc>
          <w:tcPr>
            <w:tcW w:w="6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0160" w:type="dxa"/>
            <w:vAlign w:val="bottom"/>
            <w:tcBorders>
              <w:bottom w:val="single" w:sz="8" w:color="0000FF"/>
            </w:tcBorders>
            <w:gridSpan w:val="16"/>
          </w:tcPr>
          <w:p>
            <w:pPr>
              <w:spacing w:after="0" w:line="196" w:lineRule="exact"/>
              <w:rPr>
                <w:rFonts w:ascii="Arial" w:cs="Arial" w:eastAsia="Arial" w:hAnsi="Arial"/>
                <w:sz w:val="18"/>
                <w:szCs w:val="18"/>
                <w:color w:val="0000FF"/>
                <w:w w:val="96"/>
              </w:rPr>
            </w:pPr>
            <w:hyperlink r:id="rId82">
              <w:r>
                <w:rPr>
                  <w:rFonts w:ascii="Arial" w:cs="Arial" w:eastAsia="Arial" w:hAnsi="Arial"/>
                  <w:sz w:val="18"/>
                  <w:szCs w:val="18"/>
                  <w:color w:val="0000FF"/>
                  <w:w w:val="96"/>
                </w:rPr>
                <w:t>Capital, LLC, Richard Watkins, Open Lending Opportunity Partners, Ryan Collins, Kurt Wilkin, Scott Gordon, Keith Jezek and Steve</w:t>
              </w:r>
            </w:hyperlink>
          </w:p>
        </w:tc>
        <w:tc>
          <w:tcPr>
            <w:tcW w:w="6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220" w:type="dxa"/>
            <w:vAlign w:val="bottom"/>
            <w:gridSpan w:val="19"/>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Letbetter (incorporated by reference to Exhibit 10.3 to Nebula’s Current Report on Form 8-K filed January 6, 2020).</w:t>
              </w:r>
            </w:hyperlink>
          </w:p>
        </w:tc>
      </w:tr>
      <w:tr>
        <w:trPr>
          <w:trHeight w:val="20"/>
        </w:trPr>
        <w:tc>
          <w:tcPr>
            <w:tcW w:w="106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60" w:type="dxa"/>
            <w:vAlign w:val="bottom"/>
          </w:tcPr>
          <w:p>
            <w:pPr>
              <w:jc w:val="center"/>
              <w:ind w:right="217"/>
              <w:spacing w:after="0"/>
              <w:rPr>
                <w:sz w:val="20"/>
                <w:szCs w:val="20"/>
                <w:color w:val="auto"/>
              </w:rPr>
            </w:pPr>
            <w:r>
              <w:rPr>
                <w:rFonts w:ascii="Arial" w:cs="Arial" w:eastAsia="Arial" w:hAnsi="Arial"/>
                <w:sz w:val="13"/>
                <w:szCs w:val="13"/>
                <w:color w:val="auto"/>
                <w:w w:val="86"/>
              </w:rPr>
              <w:t>10.6</w:t>
            </w:r>
          </w:p>
        </w:tc>
        <w:tc>
          <w:tcPr>
            <w:tcW w:w="10220" w:type="dxa"/>
            <w:vAlign w:val="bottom"/>
            <w:gridSpan w:val="19"/>
          </w:tcPr>
          <w:p>
            <w:pPr>
              <w:spacing w:after="0"/>
              <w:rPr>
                <w:rFonts w:ascii="Arial" w:cs="Arial" w:eastAsia="Arial" w:hAnsi="Arial"/>
                <w:sz w:val="18"/>
                <w:szCs w:val="18"/>
                <w:color w:val="0000FF"/>
                <w:w w:val="92"/>
              </w:rPr>
            </w:pPr>
            <w:hyperlink r:id="rId83">
              <w:r>
                <w:rPr>
                  <w:rFonts w:ascii="Arial" w:cs="Arial" w:eastAsia="Arial" w:hAnsi="Arial"/>
                  <w:sz w:val="18"/>
                  <w:szCs w:val="18"/>
                  <w:color w:val="0000FF"/>
                  <w:w w:val="92"/>
                </w:rPr>
                <w:t>Form of Subscription Agreement (incorporated by reference to Exhibit 10.4 to Nebula’s Current Report on Form 8-K filed January 6, 2020).</w:t>
              </w:r>
            </w:hyperlink>
          </w:p>
        </w:tc>
      </w:tr>
      <w:tr>
        <w:trPr>
          <w:trHeight w:val="20"/>
        </w:trPr>
        <w:tc>
          <w:tcPr>
            <w:tcW w:w="106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60" w:type="dxa"/>
            <w:vAlign w:val="bottom"/>
          </w:tcPr>
          <w:p>
            <w:pPr>
              <w:jc w:val="center"/>
              <w:ind w:right="217"/>
              <w:spacing w:after="0"/>
              <w:rPr>
                <w:sz w:val="20"/>
                <w:szCs w:val="20"/>
                <w:color w:val="auto"/>
              </w:rPr>
            </w:pPr>
            <w:r>
              <w:rPr>
                <w:rFonts w:ascii="Arial" w:cs="Arial" w:eastAsia="Arial" w:hAnsi="Arial"/>
                <w:sz w:val="13"/>
                <w:szCs w:val="13"/>
                <w:color w:val="auto"/>
                <w:w w:val="86"/>
              </w:rPr>
              <w:t>10.7</w:t>
            </w:r>
          </w:p>
        </w:tc>
        <w:tc>
          <w:tcPr>
            <w:tcW w:w="10180" w:type="dxa"/>
            <w:vAlign w:val="bottom"/>
            <w:tcBorders>
              <w:bottom w:val="single" w:sz="8" w:color="0000FF"/>
            </w:tcBorders>
            <w:gridSpan w:val="17"/>
          </w:tcPr>
          <w:p>
            <w:pPr>
              <w:spacing w:after="0"/>
              <w:rPr>
                <w:rFonts w:ascii="Arial" w:cs="Arial" w:eastAsia="Arial" w:hAnsi="Arial"/>
                <w:sz w:val="18"/>
                <w:szCs w:val="18"/>
                <w:color w:val="0000FF"/>
                <w:w w:val="94"/>
              </w:rPr>
            </w:pPr>
            <w:hyperlink r:id="rId84">
              <w:r>
                <w:rPr>
                  <w:rFonts w:ascii="Arial" w:cs="Arial" w:eastAsia="Arial" w:hAnsi="Arial"/>
                  <w:sz w:val="18"/>
                  <w:szCs w:val="18"/>
                  <w:color w:val="0000FF"/>
                  <w:w w:val="94"/>
                </w:rPr>
                <w:t>Tax Receivable Agreement, dated as of June 10, 2020, by and among Nebula Acquisition Corp., BRP Hold 11, Inc. the Blocker named</w:t>
              </w:r>
            </w:hyperlink>
          </w:p>
        </w:tc>
        <w:tc>
          <w:tcPr>
            <w:tcW w:w="4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0180" w:type="dxa"/>
            <w:vAlign w:val="bottom"/>
            <w:tcBorders>
              <w:bottom w:val="single" w:sz="8" w:color="0000FF"/>
            </w:tcBorders>
            <w:gridSpan w:val="17"/>
          </w:tcPr>
          <w:p>
            <w:pPr>
              <w:spacing w:after="0" w:line="196" w:lineRule="exact"/>
              <w:rPr>
                <w:rFonts w:ascii="Arial" w:cs="Arial" w:eastAsia="Arial" w:hAnsi="Arial"/>
                <w:sz w:val="18"/>
                <w:szCs w:val="18"/>
                <w:color w:val="0000FF"/>
                <w:w w:val="94"/>
              </w:rPr>
            </w:pPr>
            <w:hyperlink r:id="rId84">
              <w:r>
                <w:rPr>
                  <w:rFonts w:ascii="Arial" w:cs="Arial" w:eastAsia="Arial" w:hAnsi="Arial"/>
                  <w:sz w:val="18"/>
                  <w:szCs w:val="18"/>
                  <w:color w:val="0000FF"/>
                  <w:w w:val="94"/>
                </w:rPr>
                <w:t>herein, Nebula Parent Corp., Open Lending, LLC and the undersigned beneficiaries (incorporated by reference to Exhibit 10.7 to Open</w:t>
              </w:r>
            </w:hyperlink>
          </w:p>
        </w:tc>
        <w:tc>
          <w:tcPr>
            <w:tcW w:w="4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528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Lending Corporation’s Current Report on Form 8-K filed June 15, 2020).</w:t>
              </w:r>
            </w:hyperlink>
          </w:p>
        </w:tc>
        <w:tc>
          <w:tcPr>
            <w:tcW w:w="4940" w:type="dxa"/>
            <w:vAlign w:val="bottom"/>
            <w:gridSpan w:val="11"/>
          </w:tcPr>
          <w:p>
            <w:pPr>
              <w:spacing w:after="0"/>
              <w:rPr>
                <w:sz w:val="17"/>
                <w:szCs w:val="17"/>
                <w:color w:val="auto"/>
              </w:rPr>
            </w:pPr>
          </w:p>
        </w:tc>
      </w:tr>
      <w:tr>
        <w:trPr>
          <w:trHeight w:val="291"/>
        </w:trPr>
        <w:tc>
          <w:tcPr>
            <w:tcW w:w="1060" w:type="dxa"/>
            <w:vAlign w:val="bottom"/>
          </w:tcPr>
          <w:p>
            <w:pPr>
              <w:jc w:val="center"/>
              <w:ind w:right="217"/>
              <w:spacing w:after="0"/>
              <w:rPr>
                <w:sz w:val="20"/>
                <w:szCs w:val="20"/>
                <w:color w:val="auto"/>
              </w:rPr>
            </w:pPr>
            <w:r>
              <w:rPr>
                <w:rFonts w:ascii="Arial" w:cs="Arial" w:eastAsia="Arial" w:hAnsi="Arial"/>
                <w:sz w:val="13"/>
                <w:szCs w:val="13"/>
                <w:color w:val="auto"/>
                <w:w w:val="86"/>
              </w:rPr>
              <w:t>10.8</w:t>
            </w:r>
          </w:p>
        </w:tc>
        <w:tc>
          <w:tcPr>
            <w:tcW w:w="10220" w:type="dxa"/>
            <w:vAlign w:val="bottom"/>
            <w:gridSpan w:val="19"/>
          </w:tcPr>
          <w:p>
            <w:pPr>
              <w:spacing w:after="0"/>
              <w:rPr>
                <w:rFonts w:ascii="Arial" w:cs="Arial" w:eastAsia="Arial" w:hAnsi="Arial"/>
                <w:sz w:val="18"/>
                <w:szCs w:val="18"/>
                <w:color w:val="0000FF"/>
                <w:w w:val="96"/>
              </w:rPr>
            </w:pPr>
            <w:hyperlink r:id="rId85">
              <w:r>
                <w:rPr>
                  <w:rFonts w:ascii="Arial" w:cs="Arial" w:eastAsia="Arial" w:hAnsi="Arial"/>
                  <w:sz w:val="18"/>
                  <w:szCs w:val="18"/>
                  <w:color w:val="0000FF"/>
                  <w:w w:val="96"/>
                </w:rPr>
                <w:t>Amendment No. 1 to the Tax Receivable Agreement, dated April 9, 2021 (incorporated by reference to Exhibit 10.1 to Open Lending</w:t>
              </w:r>
            </w:hyperlink>
          </w:p>
        </w:tc>
      </w:tr>
      <w:tr>
        <w:trPr>
          <w:trHeight w:val="183"/>
        </w:trPr>
        <w:tc>
          <w:tcPr>
            <w:tcW w:w="1060" w:type="dxa"/>
            <w:vAlign w:val="bottom"/>
          </w:tcPr>
          <w:p>
            <w:pPr>
              <w:spacing w:after="0"/>
              <w:rPr>
                <w:sz w:val="15"/>
                <w:szCs w:val="15"/>
                <w:color w:val="auto"/>
              </w:rPr>
            </w:pPr>
          </w:p>
        </w:tc>
        <w:tc>
          <w:tcPr>
            <w:tcW w:w="1018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85">
              <w:r>
                <w:rPr>
                  <w:rFonts w:ascii="Arial" w:cs="Arial" w:eastAsia="Arial" w:hAnsi="Arial"/>
                  <w:sz w:val="18"/>
                  <w:szCs w:val="18"/>
                  <w:color w:val="0000FF"/>
                </w:rPr>
                <w:t>Corporation’s Current Report on Form 8-K filed April 12, 2021)</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60" w:type="dxa"/>
            <w:vAlign w:val="bottom"/>
          </w:tcPr>
          <w:p>
            <w:pPr>
              <w:jc w:val="center"/>
              <w:ind w:right="217"/>
              <w:spacing w:after="0"/>
              <w:rPr>
                <w:sz w:val="20"/>
                <w:szCs w:val="20"/>
                <w:color w:val="auto"/>
              </w:rPr>
            </w:pPr>
            <w:r>
              <w:rPr>
                <w:rFonts w:ascii="Arial" w:cs="Arial" w:eastAsia="Arial" w:hAnsi="Arial"/>
                <w:sz w:val="13"/>
                <w:szCs w:val="13"/>
                <w:color w:val="auto"/>
                <w:w w:val="86"/>
              </w:rPr>
              <w:t>10.9</w:t>
            </w:r>
          </w:p>
        </w:tc>
        <w:tc>
          <w:tcPr>
            <w:tcW w:w="10200" w:type="dxa"/>
            <w:vAlign w:val="bottom"/>
            <w:tcBorders>
              <w:bottom w:val="single" w:sz="8" w:color="0000FF"/>
            </w:tcBorders>
            <w:gridSpan w:val="18"/>
          </w:tcPr>
          <w:p>
            <w:pPr>
              <w:spacing w:after="0"/>
              <w:rPr>
                <w:rFonts w:ascii="Arial" w:cs="Arial" w:eastAsia="Arial" w:hAnsi="Arial"/>
                <w:sz w:val="18"/>
                <w:szCs w:val="18"/>
                <w:color w:val="0000FF"/>
                <w:w w:val="93"/>
              </w:rPr>
            </w:pPr>
            <w:hyperlink r:id="rId86">
              <w:r>
                <w:rPr>
                  <w:rFonts w:ascii="Arial" w:cs="Arial" w:eastAsia="Arial" w:hAnsi="Arial"/>
                  <w:sz w:val="18"/>
                  <w:szCs w:val="18"/>
                  <w:color w:val="0000FF"/>
                  <w:w w:val="93"/>
                </w:rPr>
                <w:t>Investor Rights Agreement, dated as of June 10, 2020, by and among Nebula Parent Corp., the parties listed as Investors herein, Bregal</w:t>
              </w:r>
            </w:hyperlink>
          </w:p>
        </w:tc>
        <w:tc>
          <w:tcPr>
            <w:tcW w:w="2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0200" w:type="dxa"/>
            <w:vAlign w:val="bottom"/>
            <w:tcBorders>
              <w:bottom w:val="single" w:sz="8" w:color="0000FF"/>
            </w:tcBorders>
            <w:gridSpan w:val="18"/>
          </w:tcPr>
          <w:p>
            <w:pPr>
              <w:spacing w:after="0" w:line="196" w:lineRule="exact"/>
              <w:rPr>
                <w:rFonts w:ascii="Arial" w:cs="Arial" w:eastAsia="Arial" w:hAnsi="Arial"/>
                <w:sz w:val="18"/>
                <w:szCs w:val="18"/>
                <w:color w:val="0000FF"/>
                <w:w w:val="96"/>
              </w:rPr>
            </w:pPr>
            <w:hyperlink r:id="rId86">
              <w:r>
                <w:rPr>
                  <w:rFonts w:ascii="Arial" w:cs="Arial" w:eastAsia="Arial" w:hAnsi="Arial"/>
                  <w:sz w:val="18"/>
                  <w:szCs w:val="18"/>
                  <w:color w:val="0000FF"/>
                  <w:w w:val="96"/>
                </w:rPr>
                <w:t>Sagemount I, L.P., solely for the purposes of Section 8.1, and Open Lending, LLC (incorporated by reference to Exhibit 10.8 to Open</w:t>
              </w:r>
            </w:hyperlink>
          </w:p>
        </w:tc>
        <w:tc>
          <w:tcPr>
            <w:tcW w:w="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220" w:type="dxa"/>
            <w:vAlign w:val="bottom"/>
            <w:gridSpan w:val="19"/>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Lending Corporation’s Current Report on Form 8-K filed June 15, 2020).</w:t>
              </w:r>
            </w:hyperlink>
          </w:p>
        </w:tc>
      </w:tr>
      <w:tr>
        <w:trPr>
          <w:trHeight w:val="20"/>
        </w:trPr>
        <w:tc>
          <w:tcPr>
            <w:tcW w:w="106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060" w:type="dxa"/>
            <w:vAlign w:val="bottom"/>
          </w:tcPr>
          <w:p>
            <w:pPr>
              <w:jc w:val="center"/>
              <w:ind w:right="197"/>
              <w:spacing w:after="0"/>
              <w:rPr>
                <w:sz w:val="20"/>
                <w:szCs w:val="20"/>
                <w:color w:val="auto"/>
              </w:rPr>
            </w:pPr>
            <w:r>
              <w:rPr>
                <w:rFonts w:ascii="Arial" w:cs="Arial" w:eastAsia="Arial" w:hAnsi="Arial"/>
                <w:sz w:val="13"/>
                <w:szCs w:val="13"/>
                <w:color w:val="auto"/>
                <w:w w:val="85"/>
              </w:rPr>
              <w:t>10.10</w:t>
            </w:r>
          </w:p>
        </w:tc>
        <w:tc>
          <w:tcPr>
            <w:tcW w:w="10220" w:type="dxa"/>
            <w:vAlign w:val="bottom"/>
            <w:gridSpan w:val="19"/>
          </w:tcPr>
          <w:p>
            <w:pPr>
              <w:spacing w:after="0"/>
              <w:rPr>
                <w:rFonts w:ascii="Arial" w:cs="Arial" w:eastAsia="Arial" w:hAnsi="Arial"/>
                <w:sz w:val="18"/>
                <w:szCs w:val="18"/>
                <w:color w:val="0000FF"/>
                <w:w w:val="96"/>
              </w:rPr>
            </w:pPr>
            <w:hyperlink r:id="rId87">
              <w:r>
                <w:rPr>
                  <w:rFonts w:ascii="Arial" w:cs="Arial" w:eastAsia="Arial" w:hAnsi="Arial"/>
                  <w:sz w:val="18"/>
                  <w:szCs w:val="18"/>
                  <w:color w:val="0000FF"/>
                  <w:w w:val="96"/>
                </w:rPr>
                <w:t>Credit Agreement, dated as of March 19, 2021, by and among Open Lending Corporation, the Administrative Agent and the financial</w:t>
              </w:r>
            </w:hyperlink>
          </w:p>
        </w:tc>
      </w:tr>
      <w:tr>
        <w:trPr>
          <w:trHeight w:val="183"/>
        </w:trPr>
        <w:tc>
          <w:tcPr>
            <w:tcW w:w="1060" w:type="dxa"/>
            <w:vAlign w:val="bottom"/>
          </w:tcPr>
          <w:p>
            <w:pPr>
              <w:spacing w:after="0"/>
              <w:rPr>
                <w:sz w:val="15"/>
                <w:szCs w:val="15"/>
                <w:color w:val="auto"/>
              </w:rPr>
            </w:pPr>
          </w:p>
        </w:tc>
        <w:tc>
          <w:tcPr>
            <w:tcW w:w="1016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w w:val="92"/>
              </w:rPr>
            </w:pPr>
            <w:hyperlink r:id="rId87">
              <w:r>
                <w:rPr>
                  <w:rFonts w:ascii="Arial" w:cs="Arial" w:eastAsia="Arial" w:hAnsi="Arial"/>
                  <w:sz w:val="18"/>
                  <w:szCs w:val="18"/>
                  <w:color w:val="0000FF"/>
                  <w:w w:val="92"/>
                </w:rPr>
                <w:t>institutions party thereto as lenders (incorporated by reference to Exhibit 10.1 to Open Lending Corporation’s Current Report on Form 8-K</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1620" w:type="dxa"/>
            <w:vAlign w:val="bottom"/>
            <w:tcBorders>
              <w:bottom w:val="single" w:sz="8" w:color="0000FF"/>
            </w:tcBorders>
            <w:gridSpan w:val="2"/>
          </w:tcPr>
          <w:p>
            <w:pPr>
              <w:spacing w:after="0" w:line="182" w:lineRule="exact"/>
              <w:rPr>
                <w:rFonts w:ascii="Arial" w:cs="Arial" w:eastAsia="Arial" w:hAnsi="Arial"/>
                <w:sz w:val="18"/>
                <w:szCs w:val="18"/>
                <w:color w:val="0000FF"/>
                <w:w w:val="91"/>
              </w:rPr>
            </w:pPr>
            <w:hyperlink r:id="rId87">
              <w:r>
                <w:rPr>
                  <w:rFonts w:ascii="Arial" w:cs="Arial" w:eastAsia="Arial" w:hAnsi="Arial"/>
                  <w:sz w:val="18"/>
                  <w:szCs w:val="18"/>
                  <w:color w:val="0000FF"/>
                  <w:w w:val="91"/>
                </w:rPr>
                <w:t>filed March 25, 2021).</w:t>
              </w:r>
            </w:hyperlink>
          </w:p>
        </w:tc>
        <w:tc>
          <w:tcPr>
            <w:tcW w:w="8580" w:type="dxa"/>
            <w:vAlign w:val="bottom"/>
            <w:gridSpan w:val="16"/>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060" w:type="dxa"/>
            <w:vAlign w:val="bottom"/>
          </w:tcPr>
          <w:p>
            <w:pPr>
              <w:jc w:val="center"/>
              <w:ind w:right="197"/>
              <w:spacing w:after="0"/>
              <w:rPr>
                <w:sz w:val="20"/>
                <w:szCs w:val="20"/>
                <w:color w:val="auto"/>
              </w:rPr>
            </w:pPr>
            <w:r>
              <w:rPr>
                <w:rFonts w:ascii="Arial" w:cs="Arial" w:eastAsia="Arial" w:hAnsi="Arial"/>
                <w:sz w:val="13"/>
                <w:szCs w:val="13"/>
                <w:color w:val="auto"/>
                <w:w w:val="85"/>
              </w:rPr>
              <w:t>10.11</w:t>
            </w:r>
          </w:p>
        </w:tc>
        <w:tc>
          <w:tcPr>
            <w:tcW w:w="10160" w:type="dxa"/>
            <w:vAlign w:val="bottom"/>
            <w:tcBorders>
              <w:bottom w:val="single" w:sz="8" w:color="0000FF"/>
            </w:tcBorders>
            <w:gridSpan w:val="16"/>
          </w:tcPr>
          <w:p>
            <w:pPr>
              <w:spacing w:after="0"/>
              <w:rPr>
                <w:rFonts w:ascii="Arial" w:cs="Arial" w:eastAsia="Arial" w:hAnsi="Arial"/>
                <w:sz w:val="18"/>
                <w:szCs w:val="18"/>
                <w:color w:val="0000FF"/>
                <w:w w:val="95"/>
              </w:rPr>
            </w:pPr>
            <w:hyperlink r:id="rId88">
              <w:r>
                <w:rPr>
                  <w:rFonts w:ascii="Arial" w:cs="Arial" w:eastAsia="Arial" w:hAnsi="Arial"/>
                  <w:sz w:val="18"/>
                  <w:szCs w:val="18"/>
                  <w:color w:val="0000FF"/>
                  <w:w w:val="95"/>
                </w:rPr>
                <w:t>First Amendment to Credit Agreement, dated as of September 9, 2022, by and among Open Lending Corporation as borrower, certain</w:t>
              </w:r>
            </w:hyperlink>
          </w:p>
        </w:tc>
        <w:tc>
          <w:tcPr>
            <w:tcW w:w="6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0220" w:type="dxa"/>
            <w:vAlign w:val="bottom"/>
            <w:tcBorders>
              <w:bottom w:val="single" w:sz="8" w:color="0000FF"/>
            </w:tcBorders>
            <w:gridSpan w:val="19"/>
          </w:tcPr>
          <w:p>
            <w:pPr>
              <w:spacing w:after="0" w:line="196" w:lineRule="exact"/>
              <w:rPr>
                <w:rFonts w:ascii="Arial" w:cs="Arial" w:eastAsia="Arial" w:hAnsi="Arial"/>
                <w:sz w:val="18"/>
                <w:szCs w:val="18"/>
                <w:color w:val="0000FF"/>
                <w:w w:val="93"/>
              </w:rPr>
            </w:pPr>
            <w:hyperlink r:id="rId88">
              <w:r>
                <w:rPr>
                  <w:rFonts w:ascii="Arial" w:cs="Arial" w:eastAsia="Arial" w:hAnsi="Arial"/>
                  <w:sz w:val="18"/>
                  <w:szCs w:val="18"/>
                  <w:color w:val="0000FF"/>
                  <w:w w:val="93"/>
                </w:rPr>
                <w:t>subsidiaries of Open Lending Corporation as guarantors, the financial institutions party thereto as lenders and Wells Fargo Bank, N.A., as</w:t>
              </w:r>
            </w:hyperlink>
          </w:p>
        </w:tc>
      </w:tr>
      <w:tr>
        <w:trPr>
          <w:trHeight w:val="196"/>
        </w:trPr>
        <w:tc>
          <w:tcPr>
            <w:tcW w:w="1060" w:type="dxa"/>
            <w:vAlign w:val="bottom"/>
          </w:tcPr>
          <w:p>
            <w:pPr>
              <w:spacing w:after="0"/>
              <w:rPr>
                <w:sz w:val="17"/>
                <w:szCs w:val="17"/>
                <w:color w:val="auto"/>
              </w:rPr>
            </w:pPr>
          </w:p>
        </w:tc>
        <w:tc>
          <w:tcPr>
            <w:tcW w:w="10220" w:type="dxa"/>
            <w:vAlign w:val="bottom"/>
            <w:tcBorders>
              <w:bottom w:val="single" w:sz="8" w:color="0000FF"/>
            </w:tcBorders>
            <w:gridSpan w:val="19"/>
          </w:tcPr>
          <w:p>
            <w:pPr>
              <w:spacing w:after="0" w:line="196" w:lineRule="exact"/>
              <w:rPr>
                <w:rFonts w:ascii="Arial" w:cs="Arial" w:eastAsia="Arial" w:hAnsi="Arial"/>
                <w:sz w:val="18"/>
                <w:szCs w:val="18"/>
                <w:color w:val="0000FF"/>
                <w:w w:val="93"/>
              </w:rPr>
            </w:pPr>
            <w:hyperlink r:id="rId88">
              <w:r>
                <w:rPr>
                  <w:rFonts w:ascii="Arial" w:cs="Arial" w:eastAsia="Arial" w:hAnsi="Arial"/>
                  <w:sz w:val="18"/>
                  <w:szCs w:val="18"/>
                  <w:color w:val="0000FF"/>
                  <w:w w:val="93"/>
                </w:rPr>
                <w:t>administrative agent for the lenders (incorporated by reference to Exhibit 10.1 to Open Lending Corporation’s Current Report on Form 8-K</w:t>
              </w:r>
            </w:hyperlink>
          </w:p>
        </w:tc>
      </w:tr>
      <w:tr>
        <w:trPr>
          <w:trHeight w:val="196"/>
        </w:trPr>
        <w:tc>
          <w:tcPr>
            <w:tcW w:w="1060" w:type="dxa"/>
            <w:vAlign w:val="bottom"/>
          </w:tcPr>
          <w:p>
            <w:pPr>
              <w:spacing w:after="0"/>
              <w:rPr>
                <w:sz w:val="17"/>
                <w:szCs w:val="17"/>
                <w:color w:val="auto"/>
              </w:rPr>
            </w:pPr>
          </w:p>
        </w:tc>
        <w:tc>
          <w:tcPr>
            <w:tcW w:w="192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88">
              <w:r>
                <w:rPr>
                  <w:rFonts w:ascii="Arial" w:cs="Arial" w:eastAsia="Arial" w:hAnsi="Arial"/>
                  <w:sz w:val="18"/>
                  <w:szCs w:val="18"/>
                  <w:color w:val="0000FF"/>
                  <w:w w:val="89"/>
                </w:rPr>
                <w:t>filed September 15, 2022).</w:t>
              </w:r>
            </w:hyperlink>
          </w:p>
        </w:tc>
        <w:tc>
          <w:tcPr>
            <w:tcW w:w="8300" w:type="dxa"/>
            <w:vAlign w:val="bottom"/>
            <w:gridSpan w:val="16"/>
          </w:tcPr>
          <w:p>
            <w:pPr>
              <w:spacing w:after="0"/>
              <w:rPr>
                <w:sz w:val="17"/>
                <w:szCs w:val="17"/>
                <w:color w:val="auto"/>
              </w:rPr>
            </w:pPr>
          </w:p>
        </w:tc>
      </w:tr>
      <w:tr>
        <w:trPr>
          <w:trHeight w:val="304"/>
        </w:trPr>
        <w:tc>
          <w:tcPr>
            <w:tcW w:w="1060" w:type="dxa"/>
            <w:vAlign w:val="bottom"/>
          </w:tcPr>
          <w:p>
            <w:pPr>
              <w:jc w:val="center"/>
              <w:ind w:right="197"/>
              <w:spacing w:after="0"/>
              <w:rPr>
                <w:sz w:val="20"/>
                <w:szCs w:val="20"/>
                <w:color w:val="auto"/>
              </w:rPr>
            </w:pPr>
            <w:r>
              <w:rPr>
                <w:rFonts w:ascii="Arial" w:cs="Arial" w:eastAsia="Arial" w:hAnsi="Arial"/>
                <w:sz w:val="13"/>
                <w:szCs w:val="13"/>
                <w:color w:val="auto"/>
                <w:w w:val="85"/>
              </w:rPr>
              <w:t>10.12</w:t>
            </w:r>
          </w:p>
        </w:tc>
        <w:tc>
          <w:tcPr>
            <w:tcW w:w="10220" w:type="dxa"/>
            <w:vAlign w:val="bottom"/>
            <w:tcBorders>
              <w:bottom w:val="single" w:sz="8" w:color="0000FF"/>
            </w:tcBorders>
            <w:gridSpan w:val="19"/>
          </w:tcPr>
          <w:p>
            <w:pPr>
              <w:spacing w:after="0"/>
              <w:rPr>
                <w:rFonts w:ascii="Arial" w:cs="Arial" w:eastAsia="Arial" w:hAnsi="Arial"/>
                <w:sz w:val="18"/>
                <w:szCs w:val="18"/>
                <w:color w:val="0000FF"/>
                <w:w w:val="95"/>
              </w:rPr>
            </w:pPr>
            <w:hyperlink r:id="rId89">
              <w:r>
                <w:rPr>
                  <w:rFonts w:ascii="Arial" w:cs="Arial" w:eastAsia="Arial" w:hAnsi="Arial"/>
                  <w:sz w:val="18"/>
                  <w:szCs w:val="18"/>
                  <w:color w:val="0000FF"/>
                  <w:w w:val="95"/>
                </w:rPr>
                <w:t>2020 Stock Option and Incentive Plan. (Incorporated by reference to Annex E of Nebula Acquisition Corp.’s Registration Statement on</w:t>
              </w:r>
            </w:hyperlink>
          </w:p>
        </w:tc>
      </w:tr>
      <w:tr>
        <w:trPr>
          <w:trHeight w:val="196"/>
        </w:trPr>
        <w:tc>
          <w:tcPr>
            <w:tcW w:w="1060" w:type="dxa"/>
            <w:vAlign w:val="bottom"/>
          </w:tcPr>
          <w:p>
            <w:pPr>
              <w:spacing w:after="0"/>
              <w:rPr>
                <w:sz w:val="17"/>
                <w:szCs w:val="17"/>
                <w:color w:val="auto"/>
              </w:rPr>
            </w:pPr>
          </w:p>
        </w:tc>
        <w:tc>
          <w:tcPr>
            <w:tcW w:w="516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Form S-4 (Reg. No. 333-237264), filed with the SEC on May 20, 2020)</w:t>
              </w:r>
            </w:hyperlink>
          </w:p>
        </w:tc>
        <w:tc>
          <w:tcPr>
            <w:tcW w:w="5060" w:type="dxa"/>
            <w:vAlign w:val="bottom"/>
            <w:gridSpan w:val="13"/>
          </w:tcPr>
          <w:p>
            <w:pPr>
              <w:spacing w:after="0"/>
              <w:rPr>
                <w:sz w:val="17"/>
                <w:szCs w:val="17"/>
                <w:color w:val="auto"/>
              </w:rPr>
            </w:pPr>
          </w:p>
        </w:tc>
      </w:tr>
      <w:tr>
        <w:trPr>
          <w:trHeight w:val="304"/>
        </w:trPr>
        <w:tc>
          <w:tcPr>
            <w:tcW w:w="1060" w:type="dxa"/>
            <w:vAlign w:val="bottom"/>
          </w:tcPr>
          <w:p>
            <w:pPr>
              <w:jc w:val="center"/>
              <w:ind w:right="197"/>
              <w:spacing w:after="0"/>
              <w:rPr>
                <w:sz w:val="20"/>
                <w:szCs w:val="20"/>
                <w:color w:val="auto"/>
              </w:rPr>
            </w:pPr>
            <w:r>
              <w:rPr>
                <w:rFonts w:ascii="Arial" w:cs="Arial" w:eastAsia="Arial" w:hAnsi="Arial"/>
                <w:sz w:val="13"/>
                <w:szCs w:val="13"/>
                <w:color w:val="auto"/>
                <w:w w:val="85"/>
              </w:rPr>
              <w:t>10.13</w:t>
            </w:r>
          </w:p>
        </w:tc>
        <w:tc>
          <w:tcPr>
            <w:tcW w:w="10180" w:type="dxa"/>
            <w:vAlign w:val="bottom"/>
            <w:tcBorders>
              <w:bottom w:val="single" w:sz="8" w:color="0000FF"/>
            </w:tcBorders>
            <w:gridSpan w:val="17"/>
          </w:tcPr>
          <w:p>
            <w:pPr>
              <w:spacing w:after="0"/>
              <w:rPr>
                <w:rFonts w:ascii="Arial" w:cs="Arial" w:eastAsia="Arial" w:hAnsi="Arial"/>
                <w:sz w:val="18"/>
                <w:szCs w:val="18"/>
                <w:color w:val="0000FF"/>
                <w:w w:val="92"/>
              </w:rPr>
            </w:pPr>
            <w:hyperlink r:id="rId90">
              <w:r>
                <w:rPr>
                  <w:rFonts w:ascii="Arial" w:cs="Arial" w:eastAsia="Arial" w:hAnsi="Arial"/>
                  <w:sz w:val="18"/>
                  <w:szCs w:val="18"/>
                  <w:color w:val="0000FF"/>
                  <w:w w:val="92"/>
                </w:rPr>
                <w:t>Form of Director Indemnification Agreement (incorporated by reference to Exhibit 10.12 to Open Lending Corporation’s Current Report on</w:t>
              </w:r>
            </w:hyperlink>
          </w:p>
        </w:tc>
        <w:tc>
          <w:tcPr>
            <w:tcW w:w="4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90">
              <w:r>
                <w:rPr>
                  <w:rFonts w:ascii="Arial" w:cs="Arial" w:eastAsia="Arial" w:hAnsi="Arial"/>
                  <w:sz w:val="18"/>
                  <w:szCs w:val="18"/>
                  <w:color w:val="0000FF"/>
                  <w:w w:val="91"/>
                </w:rPr>
                <w:t>Form 8-K filed June 15, 2020).</w:t>
              </w:r>
            </w:hyperlink>
          </w:p>
        </w:tc>
        <w:tc>
          <w:tcPr>
            <w:tcW w:w="7980" w:type="dxa"/>
            <w:vAlign w:val="bottom"/>
            <w:gridSpan w:val="15"/>
          </w:tcPr>
          <w:p>
            <w:pPr>
              <w:spacing w:after="0"/>
              <w:rPr>
                <w:sz w:val="17"/>
                <w:szCs w:val="17"/>
                <w:color w:val="auto"/>
              </w:rPr>
            </w:pPr>
          </w:p>
        </w:tc>
      </w:tr>
      <w:tr>
        <w:trPr>
          <w:trHeight w:val="304"/>
        </w:trPr>
        <w:tc>
          <w:tcPr>
            <w:tcW w:w="1060" w:type="dxa"/>
            <w:vAlign w:val="bottom"/>
          </w:tcPr>
          <w:p>
            <w:pPr>
              <w:jc w:val="center"/>
              <w:ind w:right="197"/>
              <w:spacing w:after="0"/>
              <w:rPr>
                <w:sz w:val="20"/>
                <w:szCs w:val="20"/>
                <w:color w:val="auto"/>
              </w:rPr>
            </w:pPr>
            <w:r>
              <w:rPr>
                <w:rFonts w:ascii="Arial" w:cs="Arial" w:eastAsia="Arial" w:hAnsi="Arial"/>
                <w:sz w:val="13"/>
                <w:szCs w:val="13"/>
                <w:color w:val="auto"/>
                <w:w w:val="85"/>
              </w:rPr>
              <w:t>10.14</w:t>
            </w:r>
          </w:p>
        </w:tc>
        <w:tc>
          <w:tcPr>
            <w:tcW w:w="10220" w:type="dxa"/>
            <w:vAlign w:val="bottom"/>
            <w:tcBorders>
              <w:bottom w:val="single" w:sz="8" w:color="0000FF"/>
            </w:tcBorders>
            <w:gridSpan w:val="19"/>
          </w:tcPr>
          <w:p>
            <w:pPr>
              <w:spacing w:after="0"/>
              <w:rPr>
                <w:rFonts w:ascii="Arial" w:cs="Arial" w:eastAsia="Arial" w:hAnsi="Arial"/>
                <w:sz w:val="18"/>
                <w:szCs w:val="18"/>
                <w:color w:val="0000FF"/>
                <w:w w:val="94"/>
              </w:rPr>
            </w:pPr>
            <w:hyperlink r:id="rId91">
              <w:r>
                <w:rPr>
                  <w:rFonts w:ascii="Arial" w:cs="Arial" w:eastAsia="Arial" w:hAnsi="Arial"/>
                  <w:sz w:val="18"/>
                  <w:szCs w:val="18"/>
                  <w:color w:val="0000FF"/>
                  <w:w w:val="94"/>
                </w:rPr>
                <w:t>Form of Officer Indemnification Agreement (incorporated by reference to Exhibit 10.11 to Open Lending Corporation’s Current Report on</w:t>
              </w:r>
            </w:hyperlink>
          </w:p>
        </w:tc>
      </w:tr>
      <w:tr>
        <w:trPr>
          <w:trHeight w:val="196"/>
        </w:trPr>
        <w:tc>
          <w:tcPr>
            <w:tcW w:w="1060" w:type="dxa"/>
            <w:vAlign w:val="bottom"/>
          </w:tcPr>
          <w:p>
            <w:pPr>
              <w:spacing w:after="0"/>
              <w:rPr>
                <w:sz w:val="17"/>
                <w:szCs w:val="17"/>
                <w:color w:val="auto"/>
              </w:rPr>
            </w:pPr>
          </w:p>
        </w:tc>
        <w:tc>
          <w:tcPr>
            <w:tcW w:w="22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91">
              <w:r>
                <w:rPr>
                  <w:rFonts w:ascii="Arial" w:cs="Arial" w:eastAsia="Arial" w:hAnsi="Arial"/>
                  <w:sz w:val="18"/>
                  <w:szCs w:val="18"/>
                  <w:color w:val="0000FF"/>
                  <w:w w:val="91"/>
                </w:rPr>
                <w:t>Form 8-K filed June 15, 2020).</w:t>
              </w:r>
            </w:hyperlink>
          </w:p>
        </w:tc>
        <w:tc>
          <w:tcPr>
            <w:tcW w:w="7980" w:type="dxa"/>
            <w:vAlign w:val="bottom"/>
            <w:gridSpan w:val="15"/>
          </w:tcPr>
          <w:p>
            <w:pPr>
              <w:spacing w:after="0"/>
              <w:rPr>
                <w:sz w:val="17"/>
                <w:szCs w:val="17"/>
                <w:color w:val="auto"/>
              </w:rPr>
            </w:pPr>
          </w:p>
        </w:tc>
      </w:tr>
      <w:tr>
        <w:trPr>
          <w:trHeight w:val="304"/>
        </w:trPr>
        <w:tc>
          <w:tcPr>
            <w:tcW w:w="1060" w:type="dxa"/>
            <w:vAlign w:val="bottom"/>
          </w:tcPr>
          <w:p>
            <w:pPr>
              <w:jc w:val="center"/>
              <w:ind w:right="197"/>
              <w:spacing w:after="0"/>
              <w:rPr>
                <w:sz w:val="20"/>
                <w:szCs w:val="20"/>
                <w:color w:val="auto"/>
              </w:rPr>
            </w:pPr>
            <w:r>
              <w:rPr>
                <w:rFonts w:ascii="Arial" w:cs="Arial" w:eastAsia="Arial" w:hAnsi="Arial"/>
                <w:sz w:val="13"/>
                <w:szCs w:val="13"/>
                <w:color w:val="auto"/>
                <w:w w:val="85"/>
              </w:rPr>
              <w:t>10.15</w:t>
            </w:r>
          </w:p>
        </w:tc>
        <w:tc>
          <w:tcPr>
            <w:tcW w:w="10220" w:type="dxa"/>
            <w:vAlign w:val="bottom"/>
            <w:tcBorders>
              <w:bottom w:val="single" w:sz="8" w:color="0000FF"/>
            </w:tcBorders>
            <w:gridSpan w:val="19"/>
          </w:tcPr>
          <w:p>
            <w:pPr>
              <w:spacing w:after="0"/>
              <w:rPr>
                <w:rFonts w:ascii="Arial" w:cs="Arial" w:eastAsia="Arial" w:hAnsi="Arial"/>
                <w:sz w:val="18"/>
                <w:szCs w:val="18"/>
                <w:color w:val="0000FF"/>
                <w:w w:val="91"/>
              </w:rPr>
            </w:pPr>
            <w:hyperlink r:id="rId92">
              <w:r>
                <w:rPr>
                  <w:rFonts w:ascii="Arial" w:cs="Arial" w:eastAsia="Arial" w:hAnsi="Arial"/>
                  <w:sz w:val="18"/>
                  <w:szCs w:val="18"/>
                  <w:color w:val="0000FF"/>
                  <w:w w:val="91"/>
                </w:rPr>
                <w:t>Employment Agreement by and between the Company and Keith A. Jezek, dated October 6, 2022 (incorporated by reference to Exhibit 10.1</w:t>
              </w:r>
            </w:hyperlink>
          </w:p>
        </w:tc>
      </w:tr>
      <w:tr>
        <w:trPr>
          <w:trHeight w:val="196"/>
        </w:trPr>
        <w:tc>
          <w:tcPr>
            <w:tcW w:w="1060" w:type="dxa"/>
            <w:vAlign w:val="bottom"/>
          </w:tcPr>
          <w:p>
            <w:pPr>
              <w:spacing w:after="0"/>
              <w:rPr>
                <w:sz w:val="17"/>
                <w:szCs w:val="17"/>
                <w:color w:val="auto"/>
              </w:rPr>
            </w:pPr>
          </w:p>
        </w:tc>
        <w:tc>
          <w:tcPr>
            <w:tcW w:w="10220" w:type="dxa"/>
            <w:vAlign w:val="bottom"/>
            <w:gridSpan w:val="19"/>
          </w:tcPr>
          <w:p>
            <w:pPr>
              <w:spacing w:after="0" w:line="196" w:lineRule="exact"/>
              <w:rPr>
                <w:rFonts w:ascii="Arial" w:cs="Arial" w:eastAsia="Arial" w:hAnsi="Arial"/>
                <w:sz w:val="18"/>
                <w:szCs w:val="18"/>
                <w:color w:val="0000FF"/>
              </w:rPr>
            </w:pPr>
            <w:hyperlink r:id="rId92">
              <w:r>
                <w:rPr>
                  <w:rFonts w:ascii="Arial" w:cs="Arial" w:eastAsia="Arial" w:hAnsi="Arial"/>
                  <w:sz w:val="18"/>
                  <w:szCs w:val="18"/>
                  <w:color w:val="0000FF"/>
                </w:rPr>
                <w:t xml:space="preserve">to the Open Lending Corporation’s Current Report on Form 8-K filed October </w:t>
              </w:r>
              <w:r>
                <w:rPr>
                  <w:rFonts w:ascii="Arial" w:cs="Arial" w:eastAsia="Arial" w:hAnsi="Arial"/>
                  <w:sz w:val="18"/>
                  <w:szCs w:val="18"/>
                  <w:u w:val="single" w:color="auto"/>
                  <w:color w:val="0000FF"/>
                </w:rPr>
                <w:t>6,</w:t>
              </w:r>
              <w:r>
                <w:rPr>
                  <w:rFonts w:ascii="Arial" w:cs="Arial" w:eastAsia="Arial" w:hAnsi="Arial"/>
                  <w:sz w:val="18"/>
                  <w:szCs w:val="18"/>
                  <w:color w:val="0000FF"/>
                </w:rPr>
                <w:t xml:space="preserve"> 2022)</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60" w:type="dxa"/>
            <w:vAlign w:val="bottom"/>
          </w:tcPr>
          <w:p>
            <w:pPr>
              <w:jc w:val="center"/>
              <w:ind w:right="197"/>
              <w:spacing w:after="0"/>
              <w:rPr>
                <w:sz w:val="20"/>
                <w:szCs w:val="20"/>
                <w:color w:val="auto"/>
              </w:rPr>
            </w:pPr>
            <w:r>
              <w:rPr>
                <w:rFonts w:ascii="Arial" w:cs="Arial" w:eastAsia="Arial" w:hAnsi="Arial"/>
                <w:sz w:val="13"/>
                <w:szCs w:val="13"/>
                <w:color w:val="auto"/>
                <w:w w:val="85"/>
              </w:rPr>
              <w:t>10.16</w:t>
            </w:r>
          </w:p>
        </w:tc>
        <w:tc>
          <w:tcPr>
            <w:tcW w:w="10220" w:type="dxa"/>
            <w:vAlign w:val="bottom"/>
            <w:tcBorders>
              <w:bottom w:val="single" w:sz="8" w:color="0000FF"/>
            </w:tcBorders>
            <w:gridSpan w:val="19"/>
          </w:tcPr>
          <w:p>
            <w:pPr>
              <w:spacing w:after="0"/>
              <w:rPr>
                <w:rFonts w:ascii="Arial" w:cs="Arial" w:eastAsia="Arial" w:hAnsi="Arial"/>
                <w:sz w:val="18"/>
                <w:szCs w:val="18"/>
                <w:color w:val="0000FF"/>
                <w:w w:val="93"/>
              </w:rPr>
            </w:pPr>
            <w:hyperlink r:id="rId93">
              <w:r>
                <w:rPr>
                  <w:rFonts w:ascii="Arial" w:cs="Arial" w:eastAsia="Arial" w:hAnsi="Arial"/>
                  <w:sz w:val="18"/>
                  <w:szCs w:val="18"/>
                  <w:color w:val="0000FF"/>
                  <w:w w:val="93"/>
                </w:rPr>
                <w:t>Employment Agreement by and between the Company and Charles D. Jehl, dated August 28, 2020 (incorporated by reference to Exhibit</w:t>
              </w:r>
            </w:hyperlink>
          </w:p>
        </w:tc>
      </w:tr>
      <w:tr>
        <w:trPr>
          <w:trHeight w:val="196"/>
        </w:trPr>
        <w:tc>
          <w:tcPr>
            <w:tcW w:w="1060" w:type="dxa"/>
            <w:vAlign w:val="bottom"/>
          </w:tcPr>
          <w:p>
            <w:pPr>
              <w:spacing w:after="0"/>
              <w:rPr>
                <w:sz w:val="17"/>
                <w:szCs w:val="17"/>
                <w:color w:val="auto"/>
              </w:rPr>
            </w:pPr>
          </w:p>
        </w:tc>
        <w:tc>
          <w:tcPr>
            <w:tcW w:w="640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9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r>
                <w:rPr>
                  <w:rFonts w:ascii="Arial" w:cs="Arial" w:eastAsia="Arial" w:hAnsi="Arial"/>
                  <w:sz w:val="18"/>
                  <w:szCs w:val="18"/>
                  <w:color w:val="0000FF"/>
                  <w:w w:val="91"/>
                </w:rPr>
                <w:t xml:space="preserve"> to Open Lending Corporation’s Current Report on Form 8-K filed August 31, 2020)</w:t>
              </w:r>
            </w:hyperlink>
          </w:p>
        </w:tc>
        <w:tc>
          <w:tcPr>
            <w:tcW w:w="3820" w:type="dxa"/>
            <w:vAlign w:val="bottom"/>
            <w:gridSpan w:val="8"/>
          </w:tcPr>
          <w:p>
            <w:pPr>
              <w:spacing w:after="0"/>
              <w:rPr>
                <w:sz w:val="17"/>
                <w:szCs w:val="17"/>
                <w:color w:val="auto"/>
              </w:rPr>
            </w:pPr>
          </w:p>
        </w:tc>
      </w:tr>
      <w:tr>
        <w:trPr>
          <w:trHeight w:val="304"/>
        </w:trPr>
        <w:tc>
          <w:tcPr>
            <w:tcW w:w="1060" w:type="dxa"/>
            <w:vAlign w:val="bottom"/>
          </w:tcPr>
          <w:p>
            <w:pPr>
              <w:jc w:val="center"/>
              <w:ind w:right="197"/>
              <w:spacing w:after="0"/>
              <w:rPr>
                <w:sz w:val="20"/>
                <w:szCs w:val="20"/>
                <w:color w:val="auto"/>
              </w:rPr>
            </w:pPr>
            <w:r>
              <w:rPr>
                <w:rFonts w:ascii="Arial" w:cs="Arial" w:eastAsia="Arial" w:hAnsi="Arial"/>
                <w:sz w:val="13"/>
                <w:szCs w:val="13"/>
                <w:color w:val="auto"/>
                <w:w w:val="85"/>
              </w:rPr>
              <w:t>10.17</w:t>
            </w:r>
          </w:p>
        </w:tc>
        <w:tc>
          <w:tcPr>
            <w:tcW w:w="10220" w:type="dxa"/>
            <w:vAlign w:val="bottom"/>
            <w:tcBorders>
              <w:bottom w:val="single" w:sz="8" w:color="0000FF"/>
            </w:tcBorders>
            <w:gridSpan w:val="19"/>
          </w:tcPr>
          <w:p>
            <w:pPr>
              <w:spacing w:after="0"/>
              <w:rPr>
                <w:rFonts w:ascii="Arial" w:cs="Arial" w:eastAsia="Arial" w:hAnsi="Arial"/>
                <w:sz w:val="18"/>
                <w:szCs w:val="18"/>
                <w:color w:val="0000FF"/>
                <w:w w:val="92"/>
              </w:rPr>
            </w:pPr>
            <w:hyperlink r:id="rId94">
              <w:r>
                <w:rPr>
                  <w:rFonts w:ascii="Arial" w:cs="Arial" w:eastAsia="Arial" w:hAnsi="Arial"/>
                  <w:sz w:val="18"/>
                  <w:szCs w:val="18"/>
                  <w:color w:val="0000FF"/>
                  <w:w w:val="92"/>
                </w:rPr>
                <w:t>First Amendment to Employment Agreement by and between the Company and Charles D. Jehl, dated November 5, 2020 (incorporated by</w:t>
              </w:r>
            </w:hyperlink>
          </w:p>
        </w:tc>
      </w:tr>
      <w:tr>
        <w:trPr>
          <w:trHeight w:val="196"/>
        </w:trPr>
        <w:tc>
          <w:tcPr>
            <w:tcW w:w="1060" w:type="dxa"/>
            <w:vAlign w:val="bottom"/>
          </w:tcPr>
          <w:p>
            <w:pPr>
              <w:spacing w:after="0"/>
              <w:rPr>
                <w:sz w:val="17"/>
                <w:szCs w:val="17"/>
                <w:color w:val="auto"/>
              </w:rPr>
            </w:pPr>
          </w:p>
        </w:tc>
        <w:tc>
          <w:tcPr>
            <w:tcW w:w="10220" w:type="dxa"/>
            <w:vAlign w:val="bottom"/>
            <w:gridSpan w:val="19"/>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reference to Exhibit 10.3 to Open Lending Corporation's Current Report on Form 8-K filed November 12, 2020)</w:t>
              </w:r>
            </w:hyperlink>
          </w:p>
        </w:tc>
      </w:tr>
      <w:tr>
        <w:trPr>
          <w:trHeight w:val="20"/>
        </w:trPr>
        <w:tc>
          <w:tcPr>
            <w:tcW w:w="1060" w:type="dxa"/>
            <w:vAlign w:val="bottom"/>
          </w:tcPr>
          <w:p>
            <w:pPr>
              <w:spacing w:after="0" w:line="20" w:lineRule="exact"/>
              <w:rPr>
                <w:sz w:val="1"/>
                <w:szCs w:val="1"/>
                <w:color w:val="auto"/>
              </w:rPr>
            </w:pPr>
          </w:p>
        </w:tc>
        <w:tc>
          <w:tcPr>
            <w:tcW w:w="6400" w:type="dxa"/>
            <w:vAlign w:val="bottom"/>
            <w:gridSpan w:val="11"/>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060" w:type="dxa"/>
            <w:vAlign w:val="bottom"/>
          </w:tcPr>
          <w:p>
            <w:pPr>
              <w:jc w:val="center"/>
              <w:ind w:right="197"/>
              <w:spacing w:after="0"/>
              <w:rPr>
                <w:sz w:val="20"/>
                <w:szCs w:val="20"/>
                <w:color w:val="auto"/>
              </w:rPr>
            </w:pPr>
            <w:r>
              <w:rPr>
                <w:rFonts w:ascii="Arial" w:cs="Arial" w:eastAsia="Arial" w:hAnsi="Arial"/>
                <w:sz w:val="13"/>
                <w:szCs w:val="13"/>
                <w:color w:val="auto"/>
                <w:w w:val="85"/>
              </w:rPr>
              <w:t>10.18</w:t>
            </w:r>
          </w:p>
        </w:tc>
        <w:tc>
          <w:tcPr>
            <w:tcW w:w="10220" w:type="dxa"/>
            <w:vAlign w:val="bottom"/>
            <w:tcBorders>
              <w:bottom w:val="single" w:sz="8" w:color="0000FF"/>
            </w:tcBorders>
            <w:gridSpan w:val="19"/>
          </w:tcPr>
          <w:p>
            <w:pPr>
              <w:spacing w:after="0"/>
              <w:rPr>
                <w:rFonts w:ascii="Arial" w:cs="Arial" w:eastAsia="Arial" w:hAnsi="Arial"/>
                <w:sz w:val="18"/>
                <w:szCs w:val="18"/>
                <w:color w:val="0000FF"/>
                <w:w w:val="90"/>
              </w:rPr>
            </w:pPr>
            <w:hyperlink r:id="rId95">
              <w:r>
                <w:rPr>
                  <w:rFonts w:ascii="Arial" w:cs="Arial" w:eastAsia="Arial" w:hAnsi="Arial"/>
                  <w:sz w:val="18"/>
                  <w:szCs w:val="18"/>
                  <w:color w:val="0000FF"/>
                  <w:w w:val="90"/>
                </w:rPr>
                <w:t>Transition Services Agreement by and between the Company and John J. Flynn, dated October 6, 2022 (incorporated by reference to Exhibit</w:t>
              </w:r>
            </w:hyperlink>
          </w:p>
        </w:tc>
      </w:tr>
      <w:tr>
        <w:trPr>
          <w:trHeight w:val="196"/>
        </w:trPr>
        <w:tc>
          <w:tcPr>
            <w:tcW w:w="1060" w:type="dxa"/>
            <w:vAlign w:val="bottom"/>
          </w:tcPr>
          <w:p>
            <w:pPr>
              <w:spacing w:after="0"/>
              <w:rPr>
                <w:sz w:val="17"/>
                <w:szCs w:val="17"/>
                <w:color w:val="auto"/>
              </w:rPr>
            </w:pPr>
          </w:p>
        </w:tc>
        <w:tc>
          <w:tcPr>
            <w:tcW w:w="10220" w:type="dxa"/>
            <w:vAlign w:val="bottom"/>
            <w:gridSpan w:val="19"/>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Open Lending Corporation’s Current Report on Form 8-K filed October 6, 2022).</w:t>
              </w:r>
            </w:hyperlink>
          </w:p>
        </w:tc>
      </w:tr>
      <w:tr>
        <w:trPr>
          <w:trHeight w:val="20"/>
        </w:trPr>
        <w:tc>
          <w:tcPr>
            <w:tcW w:w="1060" w:type="dxa"/>
            <w:vAlign w:val="bottom"/>
          </w:tcPr>
          <w:p>
            <w:pPr>
              <w:spacing w:after="0" w:line="20" w:lineRule="exact"/>
              <w:rPr>
                <w:sz w:val="1"/>
                <w:szCs w:val="1"/>
                <w:color w:val="auto"/>
              </w:rPr>
            </w:pPr>
          </w:p>
        </w:tc>
        <w:tc>
          <w:tcPr>
            <w:tcW w:w="6400" w:type="dxa"/>
            <w:vAlign w:val="bottom"/>
            <w:gridSpan w:val="11"/>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060" w:type="dxa"/>
            <w:vAlign w:val="bottom"/>
          </w:tcPr>
          <w:p>
            <w:pPr>
              <w:jc w:val="center"/>
              <w:ind w:right="197"/>
              <w:spacing w:after="0"/>
              <w:rPr>
                <w:sz w:val="20"/>
                <w:szCs w:val="20"/>
                <w:color w:val="auto"/>
              </w:rPr>
            </w:pPr>
            <w:r>
              <w:rPr>
                <w:rFonts w:ascii="Arial" w:cs="Arial" w:eastAsia="Arial" w:hAnsi="Arial"/>
                <w:sz w:val="13"/>
                <w:szCs w:val="13"/>
                <w:color w:val="auto"/>
                <w:w w:val="85"/>
              </w:rPr>
              <w:t>10.19</w:t>
            </w:r>
          </w:p>
        </w:tc>
        <w:tc>
          <w:tcPr>
            <w:tcW w:w="10220" w:type="dxa"/>
            <w:vAlign w:val="bottom"/>
            <w:tcBorders>
              <w:bottom w:val="single" w:sz="8" w:color="0000FF"/>
            </w:tcBorders>
            <w:gridSpan w:val="19"/>
          </w:tcPr>
          <w:p>
            <w:pPr>
              <w:spacing w:after="0"/>
              <w:rPr>
                <w:rFonts w:ascii="Arial" w:cs="Arial" w:eastAsia="Arial" w:hAnsi="Arial"/>
                <w:sz w:val="18"/>
                <w:szCs w:val="18"/>
                <w:color w:val="0000FF"/>
                <w:w w:val="92"/>
              </w:rPr>
            </w:pPr>
            <w:hyperlink r:id="rId96">
              <w:r>
                <w:rPr>
                  <w:rFonts w:ascii="Arial" w:cs="Arial" w:eastAsia="Arial" w:hAnsi="Arial"/>
                  <w:sz w:val="18"/>
                  <w:szCs w:val="18"/>
                  <w:color w:val="0000FF"/>
                  <w:w w:val="92"/>
                </w:rPr>
                <w:t>Advisory and Consulting Services Agreement by and between the Company and Ross M. Jessup, dated October 17, 2022 (incorporated by</w:t>
              </w:r>
            </w:hyperlink>
          </w:p>
        </w:tc>
      </w:tr>
      <w:tr>
        <w:trPr>
          <w:trHeight w:val="196"/>
        </w:trPr>
        <w:tc>
          <w:tcPr>
            <w:tcW w:w="1060" w:type="dxa"/>
            <w:vAlign w:val="bottom"/>
          </w:tcPr>
          <w:p>
            <w:pPr>
              <w:spacing w:after="0"/>
              <w:rPr>
                <w:sz w:val="17"/>
                <w:szCs w:val="17"/>
                <w:color w:val="auto"/>
              </w:rPr>
            </w:pPr>
          </w:p>
        </w:tc>
        <w:tc>
          <w:tcPr>
            <w:tcW w:w="10220" w:type="dxa"/>
            <w:vAlign w:val="bottom"/>
            <w:gridSpan w:val="19"/>
          </w:tcPr>
          <w:p>
            <w:pPr>
              <w:spacing w:after="0" w:line="196" w:lineRule="exact"/>
              <w:rPr>
                <w:rFonts w:ascii="Arial" w:cs="Arial" w:eastAsia="Arial" w:hAnsi="Arial"/>
                <w:sz w:val="18"/>
                <w:szCs w:val="18"/>
                <w:color w:val="0000FF"/>
              </w:rPr>
            </w:pPr>
            <w:hyperlink r:id="rId96">
              <w:r>
                <w:rPr>
                  <w:rFonts w:ascii="Arial" w:cs="Arial" w:eastAsia="Arial" w:hAnsi="Arial"/>
                  <w:sz w:val="18"/>
                  <w:szCs w:val="18"/>
                  <w:color w:val="0000FF"/>
                </w:rPr>
                <w:t>reference to Exhibit 10.1 to Open Lending Corporation’s Current Report on Form 8-K filed October 18, 2022).</w:t>
              </w:r>
            </w:hyperlink>
          </w:p>
        </w:tc>
      </w:tr>
      <w:tr>
        <w:trPr>
          <w:trHeight w:val="965"/>
        </w:trPr>
        <w:tc>
          <w:tcPr>
            <w:tcW w:w="1060" w:type="dxa"/>
            <w:vAlign w:val="bottom"/>
          </w:tcPr>
          <w:p>
            <w:pPr>
              <w:spacing w:after="0"/>
              <w:rPr>
                <w:sz w:val="24"/>
                <w:szCs w:val="24"/>
                <w:color w:val="auto"/>
              </w:rPr>
            </w:pPr>
          </w:p>
        </w:tc>
        <w:tc>
          <w:tcPr>
            <w:tcW w:w="5160" w:type="dxa"/>
            <w:vAlign w:val="bottom"/>
            <w:tcBorders>
              <w:top w:val="single" w:sz="8" w:color="0000FF"/>
            </w:tcBorders>
            <w:gridSpan w:val="6"/>
          </w:tcPr>
          <w:p>
            <w:pPr>
              <w:ind w:left="4480"/>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52" w:name="page53"/>
    <w:bookmarkEnd w:id="52"/>
    <w:p>
      <w:pPr>
        <w:ind w:left="200"/>
        <w:spacing w:after="0"/>
        <w:rPr>
          <w:sz w:val="20"/>
          <w:szCs w:val="20"/>
          <w:color w:val="auto"/>
        </w:rPr>
      </w:pPr>
      <w:r>
        <w:rPr>
          <w:rFonts w:ascii="Arial" w:cs="Arial" w:eastAsia="Arial" w:hAnsi="Arial"/>
          <w:sz w:val="10"/>
          <w:szCs w:val="10"/>
          <w:color w:val="auto"/>
        </w:rPr>
        <w:t>10.20</w:t>
      </w:r>
    </w:p>
    <w:p>
      <w:pPr>
        <w:spacing w:after="0" w:line="200" w:lineRule="exact"/>
        <w:rPr>
          <w:sz w:val="20"/>
          <w:szCs w:val="20"/>
          <w:color w:val="auto"/>
        </w:rPr>
      </w:pPr>
    </w:p>
    <w:p>
      <w:pPr>
        <w:spacing w:after="0" w:line="225" w:lineRule="exact"/>
        <w:rPr>
          <w:sz w:val="20"/>
          <w:szCs w:val="20"/>
          <w:color w:val="auto"/>
        </w:rPr>
      </w:pPr>
    </w:p>
    <w:p>
      <w:pPr>
        <w:ind w:left="200"/>
        <w:spacing w:after="0"/>
        <w:rPr>
          <w:sz w:val="20"/>
          <w:szCs w:val="20"/>
          <w:color w:val="auto"/>
        </w:rPr>
      </w:pPr>
      <w:r>
        <w:rPr>
          <w:rFonts w:ascii="Arial" w:cs="Arial" w:eastAsia="Arial" w:hAnsi="Arial"/>
          <w:sz w:val="10"/>
          <w:szCs w:val="10"/>
          <w:color w:val="auto"/>
        </w:rPr>
        <w:t>10.21</w:t>
      </w:r>
    </w:p>
    <w:p>
      <w:pPr>
        <w:spacing w:after="0" w:line="200" w:lineRule="exact"/>
        <w:rPr>
          <w:sz w:val="20"/>
          <w:szCs w:val="20"/>
          <w:color w:val="auto"/>
        </w:rPr>
      </w:pPr>
    </w:p>
    <w:p>
      <w:pPr>
        <w:spacing w:after="0" w:line="225" w:lineRule="exact"/>
        <w:rPr>
          <w:sz w:val="20"/>
          <w:szCs w:val="20"/>
          <w:color w:val="auto"/>
        </w:rPr>
      </w:pPr>
    </w:p>
    <w:p>
      <w:pPr>
        <w:ind w:left="200"/>
        <w:spacing w:after="0"/>
        <w:rPr>
          <w:sz w:val="20"/>
          <w:szCs w:val="20"/>
          <w:color w:val="auto"/>
        </w:rPr>
      </w:pPr>
      <w:r>
        <w:rPr>
          <w:rFonts w:ascii="Arial" w:cs="Arial" w:eastAsia="Arial" w:hAnsi="Arial"/>
          <w:sz w:val="10"/>
          <w:szCs w:val="10"/>
          <w:color w:val="auto"/>
        </w:rPr>
        <w:t>10.22</w:t>
      </w:r>
    </w:p>
    <w:p>
      <w:pPr>
        <w:spacing w:after="0" w:line="20" w:lineRule="exact"/>
        <w:rPr>
          <w:sz w:val="20"/>
          <w:szCs w:val="20"/>
          <w:color w:val="auto"/>
        </w:rPr>
      </w:pPr>
      <w:r>
        <w:rPr>
          <w:sz w:val="20"/>
          <w:szCs w:val="20"/>
          <w:color w:val="auto"/>
        </w:rPr>
        <w:br w:type="column"/>
      </w:r>
    </w:p>
    <w:p>
      <w:pPr>
        <w:spacing w:after="0" w:line="277" w:lineRule="auto"/>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Senior Executive Cash Incentive Bonus Plan (incorporated by reference to Exhibit 10.4 to Open Lending Corporation's Current Report on</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Form 8-K filed November 12, 2020)</w:t>
        </w:r>
      </w:hyperlink>
    </w:p>
    <w:p>
      <w:pPr>
        <w:spacing w:after="0" w:line="62" w:lineRule="exact"/>
        <w:rPr>
          <w:sz w:val="20"/>
          <w:szCs w:val="20"/>
          <w:color w:val="auto"/>
        </w:rPr>
      </w:pPr>
    </w:p>
    <w:p>
      <w:pPr>
        <w:spacing w:after="0" w:line="277" w:lineRule="auto"/>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Non-Employee Director Compensation Policy (incorporated by reference to Exhibit 10.5 to Open Lending Corporation's Current Report on</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Form 8-K filed November 12, 2020)</w:t>
        </w:r>
      </w:hyperlink>
    </w:p>
    <w:p>
      <w:pPr>
        <w:spacing w:after="0" w:line="49" w:lineRule="exact"/>
        <w:rPr>
          <w:sz w:val="20"/>
          <w:szCs w:val="20"/>
          <w:color w:val="auto"/>
        </w:rPr>
      </w:pPr>
    </w:p>
    <w:p>
      <w:pPr>
        <w:jc w:val="both"/>
        <w:spacing w:after="0" w:line="248" w:lineRule="auto"/>
        <w:rPr>
          <w:rFonts w:ascii="Arial" w:cs="Arial" w:eastAsia="Arial" w:hAnsi="Arial"/>
          <w:sz w:val="16"/>
          <w:szCs w:val="16"/>
          <w:u w:val="single" w:color="auto"/>
          <w:color w:val="0000FF"/>
        </w:rPr>
      </w:pPr>
      <w:hyperlink r:id="rId101">
        <w:r>
          <w:rPr>
            <w:rFonts w:ascii="Arial" w:cs="Arial" w:eastAsia="Arial" w:hAnsi="Arial"/>
            <w:sz w:val="16"/>
            <w:szCs w:val="16"/>
            <w:u w:val="single" w:color="auto"/>
            <w:color w:val="0000FF"/>
          </w:rPr>
          <w:t>Stock Repurchase Agreement, dated as of December 7, 2020, by and between Open Lending Corporation and the selling stockholders named</w:t>
        </w:r>
      </w:hyperlink>
      <w:r>
        <w:rPr>
          <w:rFonts w:ascii="Arial" w:cs="Arial" w:eastAsia="Arial" w:hAnsi="Arial"/>
          <w:sz w:val="16"/>
          <w:szCs w:val="16"/>
          <w:u w:val="single" w:color="auto"/>
          <w:color w:val="0000FF"/>
        </w:rPr>
        <w:t xml:space="preserve"> </w:t>
      </w:r>
      <w:hyperlink r:id="rId101">
        <w:r>
          <w:rPr>
            <w:rFonts w:ascii="Arial" w:cs="Arial" w:eastAsia="Arial" w:hAnsi="Arial"/>
            <w:sz w:val="16"/>
            <w:szCs w:val="16"/>
            <w:u w:val="single" w:color="auto"/>
            <w:color w:val="0000FF"/>
          </w:rPr>
          <w:t>therein (incorporated by reference to Exhibit 10.21 to Open Lending Corporation’s Registration Statement on Form S-1 filed December 7,</w:t>
        </w:r>
      </w:hyperlink>
    </w:p>
    <w:p>
      <w:pPr>
        <w:spacing w:after="0"/>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2020).</w:t>
        </w:r>
      </w:hyperlink>
    </w:p>
    <w:p>
      <w:pPr>
        <w:spacing w:after="0" w:line="43" w:lineRule="exact"/>
        <w:rPr>
          <w:sz w:val="20"/>
          <w:szCs w:val="20"/>
          <w:color w:val="auto"/>
        </w:rPr>
      </w:pPr>
    </w:p>
    <w:p>
      <w:pPr>
        <w:sectPr>
          <w:pgSz w:w="11900" w:h="16838" w:orient="portrait"/>
          <w:cols w:equalWidth="0" w:num="2">
            <w:col w:w="480" w:space="520"/>
            <w:col w:w="10160"/>
          </w:cols>
          <w:pgMar w:left="380" w:top="1367" w:right="359" w:bottom="1440" w:gutter="0" w:footer="0" w:header="0"/>
        </w:sectPr>
      </w:pPr>
    </w:p>
    <w:tbl>
      <w:tblPr>
        <w:tblLayout w:type="fixed"/>
        <w:tblInd w:w="200" w:type="dxa"/>
        <w:tblCellMar>
          <w:top w:w="0" w:type="dxa"/>
          <w:left w:w="0" w:type="dxa"/>
          <w:bottom w:w="0" w:type="dxa"/>
          <w:right w:w="0" w:type="dxa"/>
        </w:tblCellMar>
      </w:tblPr>
      <w:tr>
        <w:trPr>
          <w:trHeight w:val="207"/>
        </w:trPr>
        <w:tc>
          <w:tcPr>
            <w:tcW w:w="800" w:type="dxa"/>
            <w:vAlign w:val="bottom"/>
          </w:tcPr>
          <w:p>
            <w:pPr>
              <w:jc w:val="right"/>
              <w:ind w:right="457"/>
              <w:spacing w:after="0"/>
              <w:rPr>
                <w:sz w:val="20"/>
                <w:szCs w:val="20"/>
                <w:color w:val="auto"/>
              </w:rPr>
            </w:pPr>
            <w:r>
              <w:rPr>
                <w:rFonts w:ascii="Arial" w:cs="Arial" w:eastAsia="Arial" w:hAnsi="Arial"/>
                <w:sz w:val="13"/>
                <w:szCs w:val="13"/>
                <w:color w:val="auto"/>
                <w:w w:val="79"/>
              </w:rPr>
              <w:t>10.23</w:t>
            </w:r>
          </w:p>
        </w:tc>
        <w:tc>
          <w:tcPr>
            <w:tcW w:w="10220" w:type="dxa"/>
            <w:vAlign w:val="bottom"/>
            <w:gridSpan w:val="6"/>
          </w:tcPr>
          <w:p>
            <w:pPr>
              <w:spacing w:after="0"/>
              <w:rPr>
                <w:rFonts w:ascii="Arial" w:cs="Arial" w:eastAsia="Arial" w:hAnsi="Arial"/>
                <w:sz w:val="18"/>
                <w:szCs w:val="18"/>
                <w:color w:val="0000FF"/>
                <w:w w:val="91"/>
              </w:rPr>
            </w:pPr>
            <w:hyperlink r:id="rId102">
              <w:r>
                <w:rPr>
                  <w:rFonts w:ascii="Arial" w:cs="Arial" w:eastAsia="Arial" w:hAnsi="Arial"/>
                  <w:sz w:val="18"/>
                  <w:szCs w:val="18"/>
                  <w:color w:val="0000FF"/>
                  <w:w w:val="91"/>
                </w:rPr>
                <w:t>Stock Repurchase Agreement, dated as of March 29, 2021, by and between Open Lending Corporation and the selling stockholders named</w:t>
              </w:r>
            </w:hyperlink>
          </w:p>
        </w:tc>
      </w:tr>
      <w:tr>
        <w:trPr>
          <w:trHeight w:val="183"/>
        </w:trPr>
        <w:tc>
          <w:tcPr>
            <w:tcW w:w="800" w:type="dxa"/>
            <w:vAlign w:val="bottom"/>
          </w:tcPr>
          <w:p>
            <w:pPr>
              <w:spacing w:after="0"/>
              <w:rPr>
                <w:sz w:val="15"/>
                <w:szCs w:val="15"/>
                <w:color w:val="auto"/>
              </w:rPr>
            </w:pPr>
          </w:p>
        </w:tc>
        <w:tc>
          <w:tcPr>
            <w:tcW w:w="1016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5"/>
              </w:rPr>
            </w:pPr>
            <w:hyperlink r:id="rId102">
              <w:r>
                <w:rPr>
                  <w:rFonts w:ascii="Arial" w:cs="Arial" w:eastAsia="Arial" w:hAnsi="Arial"/>
                  <w:sz w:val="18"/>
                  <w:szCs w:val="18"/>
                  <w:color w:val="0000FF"/>
                  <w:w w:val="95"/>
                </w:rPr>
                <w:t>therein (incorporated by reference to Exhibit 10.24 to Open Lending Corporation’s Registration Statement on Form S-1 filed March 29,</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460" w:type="dxa"/>
            <w:vAlign w:val="bottom"/>
            <w:tcBorders>
              <w:bottom w:val="single" w:sz="8" w:color="0000FF"/>
            </w:tcBorders>
          </w:tcPr>
          <w:p>
            <w:pPr>
              <w:spacing w:after="0" w:line="182" w:lineRule="exact"/>
              <w:rPr>
                <w:rFonts w:ascii="Arial" w:cs="Arial" w:eastAsia="Arial" w:hAnsi="Arial"/>
                <w:sz w:val="18"/>
                <w:szCs w:val="18"/>
                <w:color w:val="0000FF"/>
                <w:w w:val="86"/>
              </w:rPr>
            </w:pPr>
            <w:hyperlink r:id="rId102">
              <w:r>
                <w:rPr>
                  <w:rFonts w:ascii="Arial" w:cs="Arial" w:eastAsia="Arial" w:hAnsi="Arial"/>
                  <w:sz w:val="18"/>
                  <w:szCs w:val="18"/>
                  <w:color w:val="0000FF"/>
                  <w:w w:val="86"/>
                </w:rPr>
                <w:t>2021).</w:t>
              </w:r>
            </w:hyperlink>
          </w:p>
        </w:tc>
        <w:tc>
          <w:tcPr>
            <w:tcW w:w="69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1"/>
        </w:trPr>
        <w:tc>
          <w:tcPr>
            <w:tcW w:w="800" w:type="dxa"/>
            <w:vAlign w:val="bottom"/>
          </w:tcPr>
          <w:p>
            <w:pPr>
              <w:jc w:val="right"/>
              <w:ind w:right="457"/>
              <w:spacing w:after="0"/>
              <w:rPr>
                <w:sz w:val="20"/>
                <w:szCs w:val="20"/>
                <w:color w:val="auto"/>
              </w:rPr>
            </w:pPr>
            <w:r>
              <w:rPr>
                <w:rFonts w:ascii="Arial" w:cs="Arial" w:eastAsia="Arial" w:hAnsi="Arial"/>
                <w:sz w:val="13"/>
                <w:szCs w:val="13"/>
                <w:color w:val="auto"/>
                <w:w w:val="79"/>
              </w:rPr>
              <w:t>10.24</w:t>
            </w:r>
          </w:p>
        </w:tc>
        <w:tc>
          <w:tcPr>
            <w:tcW w:w="10220" w:type="dxa"/>
            <w:vAlign w:val="bottom"/>
            <w:gridSpan w:val="6"/>
          </w:tcPr>
          <w:p>
            <w:pPr>
              <w:spacing w:after="0"/>
              <w:rPr>
                <w:rFonts w:ascii="Arial" w:cs="Arial" w:eastAsia="Arial" w:hAnsi="Arial"/>
                <w:sz w:val="18"/>
                <w:szCs w:val="18"/>
                <w:color w:val="0000FF"/>
                <w:w w:val="95"/>
              </w:rPr>
            </w:pPr>
            <w:hyperlink r:id="rId103">
              <w:r>
                <w:rPr>
                  <w:rFonts w:ascii="Arial" w:cs="Arial" w:eastAsia="Arial" w:hAnsi="Arial"/>
                  <w:sz w:val="18"/>
                  <w:szCs w:val="18"/>
                  <w:color w:val="0000FF"/>
                  <w:w w:val="95"/>
                </w:rPr>
                <w:t>Producer Agreement dated as of June 24, 2021, as amended, by and between American National Lloyds Insurance Company, ANPAC</w:t>
              </w:r>
            </w:hyperlink>
          </w:p>
        </w:tc>
      </w:tr>
      <w:tr>
        <w:trPr>
          <w:trHeight w:val="183"/>
        </w:trPr>
        <w:tc>
          <w:tcPr>
            <w:tcW w:w="800" w:type="dxa"/>
            <w:vAlign w:val="bottom"/>
          </w:tcPr>
          <w:p>
            <w:pPr>
              <w:spacing w:after="0"/>
              <w:rPr>
                <w:sz w:val="15"/>
                <w:szCs w:val="15"/>
                <w:color w:val="auto"/>
              </w:rPr>
            </w:pPr>
          </w:p>
        </w:tc>
        <w:tc>
          <w:tcPr>
            <w:tcW w:w="1018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Louisiana Insurance Company, American National Property And Casualty Company and Lenders Protection LLC (incorporated by reference</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10200" w:type="dxa"/>
            <w:vAlign w:val="bottom"/>
            <w:gridSpan w:val="5"/>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to Exhibit 10.1 to Open Lending Corporation’s Quarterly Report on Form 10-Q filed August 12, 2021).</w:t>
              </w:r>
            </w:hyperlink>
          </w:p>
        </w:tc>
        <w:tc>
          <w:tcPr>
            <w:tcW w:w="2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96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6" w:lineRule="exact"/>
        <w:rPr>
          <w:sz w:val="20"/>
          <w:szCs w:val="20"/>
          <w:color w:val="auto"/>
        </w:rPr>
      </w:pPr>
    </w:p>
    <w:p>
      <w:pPr>
        <w:sectPr>
          <w:pgSz w:w="11900" w:h="16838" w:orient="portrait"/>
          <w:cols w:equalWidth="0" w:num="1">
            <w:col w:w="11160"/>
          </w:cols>
          <w:pgMar w:left="380" w:top="1367" w:right="35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 xml:space="preserve">10.25 </w:t>
      </w:r>
      <w:r>
        <w:rPr>
          <w:rFonts w:ascii="MS PGothic" w:cs="MS PGothic" w:eastAsia="MS PGothic" w:hAnsi="MS PGothic"/>
          <w:sz w:val="13"/>
          <w:szCs w:val="13"/>
          <w:color w:val="auto"/>
        </w:rPr>
        <w:t>∅ ∅∅</w:t>
      </w:r>
    </w:p>
    <w:p>
      <w:pPr>
        <w:spacing w:after="0" w:line="348"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21.1*</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23.1*</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color w:val="auto"/>
        </w:rPr>
        <w:t>31.1*</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31.2*</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32.2**</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br w:type="column"/>
      </w:r>
    </w:p>
    <w:p>
      <w:pPr>
        <w:ind w:left="8" w:right="360"/>
        <w:spacing w:after="0" w:line="289" w:lineRule="auto"/>
        <w:rPr>
          <w:rFonts w:ascii="Arial" w:cs="Arial" w:eastAsia="Arial" w:hAnsi="Arial"/>
          <w:sz w:val="16"/>
          <w:szCs w:val="16"/>
          <w:u w:val="single" w:color="auto"/>
          <w:color w:val="0000FF"/>
        </w:rPr>
      </w:pPr>
      <w:hyperlink r:id="rId104">
        <w:r>
          <w:rPr>
            <w:rFonts w:ascii="Arial" w:cs="Arial" w:eastAsia="Arial" w:hAnsi="Arial"/>
            <w:sz w:val="16"/>
            <w:szCs w:val="16"/>
            <w:u w:val="single" w:color="auto"/>
            <w:color w:val="0000FF"/>
          </w:rPr>
          <w:t>Program Management Agreement dated May 2, 2022, by and between Arch Specialty Insurance Company and Lenders Protection, LLC</w:t>
        </w:r>
      </w:hyperlink>
      <w:r>
        <w:rPr>
          <w:rFonts w:ascii="Arial" w:cs="Arial" w:eastAsia="Arial" w:hAnsi="Arial"/>
          <w:sz w:val="16"/>
          <w:szCs w:val="16"/>
          <w:u w:val="single" w:color="auto"/>
          <w:color w:val="0000FF"/>
        </w:rPr>
        <w:t xml:space="preserve"> </w:t>
      </w:r>
      <w:hyperlink r:id="rId104">
        <w:r>
          <w:rPr>
            <w:rFonts w:ascii="Arial" w:cs="Arial" w:eastAsia="Arial" w:hAnsi="Arial"/>
            <w:sz w:val="16"/>
            <w:szCs w:val="16"/>
            <w:u w:val="single" w:color="auto"/>
            <w:color w:val="0000FF"/>
          </w:rPr>
          <w:t>(incorporated by reference to Exhibit 10.1 to Open Lending Corporation’s Quarterly Report on Form 10-Q filed August 5, 2022).</w:t>
        </w:r>
      </w:hyperlink>
    </w:p>
    <w:p>
      <w:pPr>
        <w:spacing w:after="0" w:line="29"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0000FF"/>
        </w:rPr>
        <w:t>List of Significant Subsidiaries.</w:t>
      </w:r>
    </w:p>
    <w:p>
      <w:pPr>
        <w:spacing w:after="0" w:line="77"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0000FF"/>
        </w:rPr>
        <w:t>Consent of Ernst &amp; Young, LLP</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0000FF"/>
        </w:rPr>
        <w:t>Certification of the Chief Executive Officer pursuant to Section 302 of the Sarbanes-Oxley Act of 2002.</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0000FF"/>
        </w:rPr>
        <w:t>Certification of the Chief Financial Officer pursuant to Section 302 of the Sarbanes-Oxley Act of 2002.</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0000FF"/>
        </w:rPr>
        <w:t>Certification of Chief Executive Officer pursuant to Section 906 of the Sarbanes-Oxley Act of 2002 (18 U.S.C. § 1350)</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0000FF"/>
        </w:rPr>
        <w:t>Certification of Chief Financial Officer pursuant to Section 906 of the Sarbanes-Oxley Act of 2002 (18 U.S.C. § 1350)</w:t>
      </w:r>
    </w:p>
    <w:p>
      <w:pPr>
        <w:spacing w:after="0" w:line="117" w:lineRule="exact"/>
        <w:rPr>
          <w:sz w:val="20"/>
          <w:szCs w:val="20"/>
          <w:color w:val="auto"/>
        </w:rPr>
      </w:pPr>
    </w:p>
    <w:p>
      <w:pPr>
        <w:ind w:left="8" w:right="140"/>
        <w:spacing w:after="0" w:line="277" w:lineRule="auto"/>
        <w:rPr>
          <w:sz w:val="20"/>
          <w:szCs w:val="20"/>
          <w:color w:val="auto"/>
        </w:rPr>
      </w:pPr>
      <w:r>
        <w:rPr>
          <w:rFonts w:ascii="Arial" w:cs="Arial" w:eastAsia="Arial" w:hAnsi="Arial"/>
          <w:sz w:val="18"/>
          <w:szCs w:val="18"/>
          <w:color w:val="auto"/>
        </w:rPr>
        <w:t>The following materials from Open Lending Corporation’s Annual Report on Form 10-K for the year ended December 31, 2022, formatted in iXBRL (Inline eXtensible Business Reporting Language):</w:t>
      </w:r>
    </w:p>
    <w:p>
      <w:pPr>
        <w:spacing w:after="0" w:line="62" w:lineRule="exact"/>
        <w:rPr>
          <w:sz w:val="20"/>
          <w:szCs w:val="20"/>
          <w:color w:val="auto"/>
        </w:rPr>
      </w:pPr>
    </w:p>
    <w:p>
      <w:pPr>
        <w:ind w:left="208" w:hanging="208"/>
        <w:spacing w:after="0"/>
        <w:tabs>
          <w:tab w:leader="none" w:pos="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Consolidated Balance Sheets</w:t>
      </w:r>
    </w:p>
    <w:p>
      <w:pPr>
        <w:spacing w:after="0" w:line="117" w:lineRule="exact"/>
        <w:rPr>
          <w:rFonts w:ascii="Arial" w:cs="Arial" w:eastAsia="Arial" w:hAnsi="Arial"/>
          <w:sz w:val="18"/>
          <w:szCs w:val="18"/>
          <w:color w:val="auto"/>
        </w:rPr>
      </w:pPr>
    </w:p>
    <w:p>
      <w:pPr>
        <w:ind w:left="268" w:hanging="268"/>
        <w:spacing w:after="0"/>
        <w:tabs>
          <w:tab w:leader="none" w:pos="2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Consolidated Statements of Operations</w:t>
      </w:r>
    </w:p>
    <w:p>
      <w:pPr>
        <w:spacing w:after="0" w:line="117" w:lineRule="exact"/>
        <w:rPr>
          <w:rFonts w:ascii="Arial" w:cs="Arial" w:eastAsia="Arial" w:hAnsi="Arial"/>
          <w:sz w:val="18"/>
          <w:szCs w:val="18"/>
          <w:color w:val="auto"/>
        </w:rPr>
      </w:pPr>
    </w:p>
    <w:p>
      <w:pPr>
        <w:ind w:left="308" w:hanging="308"/>
        <w:spacing w:after="0"/>
        <w:tabs>
          <w:tab w:leader="none" w:pos="3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Consolidated Statements of Stockholder’s Equity (Deficit)</w:t>
      </w:r>
    </w:p>
    <w:p>
      <w:pPr>
        <w:spacing w:after="0" w:line="117" w:lineRule="exact"/>
        <w:rPr>
          <w:rFonts w:ascii="Arial" w:cs="Arial" w:eastAsia="Arial" w:hAnsi="Arial"/>
          <w:sz w:val="18"/>
          <w:szCs w:val="18"/>
          <w:color w:val="auto"/>
        </w:rPr>
      </w:pPr>
    </w:p>
    <w:p>
      <w:pPr>
        <w:ind w:left="308" w:hanging="308"/>
        <w:spacing w:after="0"/>
        <w:tabs>
          <w:tab w:leader="none" w:pos="3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Consolidated Statements of Cash Flows</w:t>
      </w:r>
    </w:p>
    <w:p>
      <w:pPr>
        <w:spacing w:after="0" w:line="117" w:lineRule="exact"/>
        <w:rPr>
          <w:rFonts w:ascii="Arial" w:cs="Arial" w:eastAsia="Arial" w:hAnsi="Arial"/>
          <w:sz w:val="18"/>
          <w:szCs w:val="18"/>
          <w:color w:val="auto"/>
        </w:rPr>
      </w:pPr>
    </w:p>
    <w:p>
      <w:pPr>
        <w:ind w:left="248" w:hanging="248"/>
        <w:spacing w:after="0"/>
        <w:tabs>
          <w:tab w:leader="none" w:pos="2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04" w:lineRule="exact"/>
        <w:rPr>
          <w:sz w:val="20"/>
          <w:szCs w:val="20"/>
          <w:color w:val="auto"/>
        </w:rPr>
      </w:pPr>
    </w:p>
    <w:p>
      <w:pPr>
        <w:sectPr>
          <w:pgSz w:w="11900" w:h="16838" w:orient="portrait"/>
          <w:cols w:equalWidth="0" w:num="2">
            <w:col w:w="680" w:space="312"/>
            <w:col w:w="10168"/>
          </w:cols>
          <w:pgMar w:left="380" w:top="1367" w:right="359" w:bottom="1440" w:gutter="0" w:footer="0" w:header="0"/>
          <w:type w:val="continuous"/>
        </w:sectPr>
      </w:pPr>
    </w:p>
    <w:p>
      <w:pPr>
        <w:ind w:left="1000" w:hanging="755"/>
        <w:spacing w:after="0"/>
        <w:tabs>
          <w:tab w:leader="none" w:pos="1000" w:val="left"/>
        </w:tabs>
        <w:numPr>
          <w:ilvl w:val="0"/>
          <w:numId w:val="20"/>
        </w:numPr>
        <w:rPr>
          <w:rFonts w:ascii="Arial" w:cs="Arial" w:eastAsia="Arial" w:hAnsi="Arial"/>
          <w:sz w:val="13"/>
          <w:szCs w:val="13"/>
          <w:color w:val="auto"/>
        </w:rPr>
      </w:pPr>
      <w:r>
        <w:rPr>
          <w:rFonts w:ascii="Arial" w:cs="Arial" w:eastAsia="Arial" w:hAnsi="Arial"/>
          <w:sz w:val="18"/>
          <w:szCs w:val="18"/>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00" w:hanging="692"/>
        <w:spacing w:after="0"/>
        <w:tabs>
          <w:tab w:leader="none" w:pos="1000" w:val="left"/>
        </w:tabs>
        <w:numPr>
          <w:ilvl w:val="0"/>
          <w:numId w:val="21"/>
        </w:numPr>
        <w:rPr>
          <w:rFonts w:ascii="Arial" w:cs="Arial" w:eastAsia="Arial" w:hAnsi="Arial"/>
          <w:sz w:val="13"/>
          <w:szCs w:val="13"/>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1000" w:hanging="724"/>
        <w:spacing w:after="0"/>
        <w:tabs>
          <w:tab w:leader="none" w:pos="1000" w:val="left"/>
        </w:tabs>
        <w:numPr>
          <w:ilvl w:val="0"/>
          <w:numId w:val="22"/>
        </w:numPr>
        <w:rPr>
          <w:rFonts w:ascii="Arial" w:cs="Arial" w:eastAsia="Arial" w:hAnsi="Arial"/>
          <w:sz w:val="13"/>
          <w:szCs w:val="13"/>
          <w:color w:val="auto"/>
        </w:rPr>
      </w:pPr>
      <w:r>
        <w:rPr>
          <w:rFonts w:ascii="Arial" w:cs="Arial" w:eastAsia="Arial" w:hAnsi="Arial"/>
          <w:sz w:val="18"/>
          <w:szCs w:val="18"/>
          <w:color w:val="auto"/>
        </w:rPr>
        <w:t>Furnished herewith.</w:t>
      </w:r>
    </w:p>
    <w:p>
      <w:pPr>
        <w:spacing w:after="0" w:line="76" w:lineRule="exact"/>
        <w:rPr>
          <w:rFonts w:ascii="Arial" w:cs="Arial" w:eastAsia="Arial" w:hAnsi="Arial"/>
          <w:sz w:val="13"/>
          <w:szCs w:val="13"/>
          <w:color w:val="auto"/>
        </w:rPr>
      </w:pPr>
    </w:p>
    <w:p>
      <w:pPr>
        <w:ind w:left="1000" w:hanging="699"/>
        <w:spacing w:after="0"/>
        <w:tabs>
          <w:tab w:leader="none" w:pos="1000" w:val="left"/>
        </w:tabs>
        <w:numPr>
          <w:ilvl w:val="1"/>
          <w:numId w:val="22"/>
        </w:numPr>
        <w:rPr>
          <w:rFonts w:ascii="MS PGothic" w:cs="MS PGothic" w:eastAsia="MS PGothic" w:hAnsi="MS PGothic"/>
          <w:sz w:val="13"/>
          <w:szCs w:val="13"/>
          <w:color w:val="auto"/>
        </w:rPr>
      </w:pPr>
      <w:r>
        <w:rPr>
          <w:rFonts w:ascii="Arial" w:cs="Arial" w:eastAsia="Arial" w:hAnsi="Arial"/>
          <w:sz w:val="18"/>
          <w:szCs w:val="18"/>
          <w:color w:val="auto"/>
        </w:rPr>
        <w:t>Portions of this exhibit have been omitted pursuant to Item 601(b)10(iv) of Regulation S-K.</w:t>
      </w:r>
    </w:p>
    <w:p>
      <w:pPr>
        <w:spacing w:after="0" w:line="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Certain schedules have been omitted pursuant to Item 601(a)(5) of Regulation S-K. The Company undertakes to furnish supplemental copies</w:t>
      </w:r>
    </w:p>
    <w:p>
      <w:pPr>
        <w:spacing w:after="0" w:line="8" w:lineRule="exact"/>
        <w:rPr>
          <w:sz w:val="20"/>
          <w:szCs w:val="20"/>
          <w:color w:val="auto"/>
        </w:rPr>
      </w:pPr>
    </w:p>
    <w:p>
      <w:pPr>
        <w:ind w:left="1000" w:hanging="769"/>
        <w:spacing w:after="0"/>
        <w:tabs>
          <w:tab w:leader="none" w:pos="1000" w:val="left"/>
        </w:tabs>
        <w:numPr>
          <w:ilvl w:val="0"/>
          <w:numId w:val="23"/>
        </w:numPr>
        <w:rPr>
          <w:rFonts w:ascii="MS PGothic" w:cs="MS PGothic" w:eastAsia="MS PGothic" w:hAnsi="MS PGothic"/>
          <w:sz w:val="13"/>
          <w:szCs w:val="13"/>
          <w:color w:val="auto"/>
        </w:rPr>
      </w:pPr>
      <w:r>
        <w:rPr>
          <w:rFonts w:ascii="Arial" w:cs="Arial" w:eastAsia="Arial" w:hAnsi="Arial"/>
          <w:sz w:val="18"/>
          <w:szCs w:val="18"/>
          <w:color w:val="auto"/>
        </w:rPr>
        <w:t>of any of the omitted schedules to the SEC upon request.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80" w:top="1367" w:right="359" w:bottom="1440" w:gutter="0" w:footer="0" w:header="0"/>
          <w:type w:val="continuous"/>
        </w:sectPr>
      </w:pPr>
    </w:p>
    <w:bookmarkStart w:id="53" w:name="page54"/>
    <w:bookmarkEnd w:id="53"/>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4" w:name="page55"/>
    <w:bookmarkEnd w:id="54"/>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8"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OPEN LENDING CORPORATION</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Charles D. Jehl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232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Charles D. Jehl</w:t>
      </w:r>
    </w:p>
    <w:p>
      <w:pPr>
        <w:spacing w:after="0" w:line="7" w:lineRule="exact"/>
        <w:rPr>
          <w:sz w:val="20"/>
          <w:szCs w:val="20"/>
          <w:color w:val="auto"/>
        </w:rPr>
      </w:pPr>
    </w:p>
    <w:p>
      <w:pPr>
        <w:ind w:left="20"/>
        <w:spacing w:after="0"/>
        <w:tabs>
          <w:tab w:leader="none" w:pos="6120" w:val="left"/>
        </w:tabs>
        <w:rPr>
          <w:sz w:val="20"/>
          <w:szCs w:val="20"/>
          <w:color w:val="auto"/>
        </w:rPr>
      </w:pPr>
      <w:r>
        <w:rPr>
          <w:rFonts w:ascii="Arial" w:cs="Arial" w:eastAsia="Arial" w:hAnsi="Arial"/>
          <w:sz w:val="18"/>
          <w:szCs w:val="18"/>
          <w:color w:val="auto"/>
        </w:rPr>
        <w:t>February 28, 2023</w:t>
      </w:r>
      <w:r>
        <w:rPr>
          <w:sz w:val="20"/>
          <w:szCs w:val="20"/>
          <w:color w:val="auto"/>
        </w:rPr>
        <w:tab/>
      </w:r>
      <w:r>
        <w:rPr>
          <w:rFonts w:ascii="Arial" w:cs="Arial" w:eastAsia="Arial" w:hAnsi="Arial"/>
          <w:sz w:val="17"/>
          <w:szCs w:val="17"/>
          <w:color w:val="auto"/>
        </w:rPr>
        <w:t>Chief Financial Officer</w:t>
      </w:r>
    </w:p>
    <w:p>
      <w:pPr>
        <w:ind w:left="6140"/>
        <w:spacing w:after="0"/>
        <w:rPr>
          <w:sz w:val="20"/>
          <w:szCs w:val="20"/>
          <w:color w:val="auto"/>
        </w:rPr>
      </w:pPr>
      <w:r>
        <w:rPr>
          <w:rFonts w:ascii="Arial" w:cs="Arial" w:eastAsia="Arial" w:hAnsi="Arial"/>
          <w:sz w:val="18"/>
          <w:szCs w:val="18"/>
          <w:color w:val="auto"/>
        </w:rPr>
        <w:t>(Principal Financial and Accounting Officer)</w:t>
      </w:r>
    </w:p>
    <w:p>
      <w:pPr>
        <w:spacing w:after="0" w:line="3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1" w:lineRule="exact"/>
        <w:rPr>
          <w:sz w:val="20"/>
          <w:szCs w:val="20"/>
          <w:color w:val="auto"/>
        </w:rPr>
      </w:pPr>
    </w:p>
    <w:p>
      <w:pPr>
        <w:ind w:left="1600"/>
        <w:spacing w:after="0"/>
        <w:tabs>
          <w:tab w:leader="none" w:pos="6260" w:val="left"/>
          <w:tab w:leader="none" w:pos="10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jc w:val="center"/>
              <w:spacing w:after="0"/>
              <w:rPr>
                <w:sz w:val="20"/>
                <w:szCs w:val="20"/>
                <w:color w:val="auto"/>
              </w:rPr>
            </w:pPr>
            <w:r>
              <w:rPr>
                <w:rFonts w:ascii="Arial" w:cs="Arial" w:eastAsia="Arial" w:hAnsi="Arial"/>
                <w:sz w:val="18"/>
                <w:szCs w:val="18"/>
                <w:color w:val="auto"/>
                <w:w w:val="92"/>
              </w:rPr>
              <w:t>/s/ Keith A. Jezek</w:t>
            </w:r>
          </w:p>
        </w:tc>
        <w:tc>
          <w:tcPr>
            <w:tcW w:w="4260" w:type="dxa"/>
            <w:vAlign w:val="bottom"/>
          </w:tcPr>
          <w:p>
            <w:pPr>
              <w:jc w:val="center"/>
              <w:ind w:left="950"/>
              <w:spacing w:after="0"/>
              <w:rPr>
                <w:sz w:val="20"/>
                <w:szCs w:val="20"/>
                <w:color w:val="auto"/>
              </w:rPr>
            </w:pPr>
            <w:r>
              <w:rPr>
                <w:rFonts w:ascii="Arial" w:cs="Arial" w:eastAsia="Arial" w:hAnsi="Arial"/>
                <w:sz w:val="18"/>
                <w:szCs w:val="18"/>
                <w:color w:val="auto"/>
                <w:w w:val="92"/>
              </w:rPr>
              <w:t>Chief Executive Officer and Director</w:t>
            </w:r>
          </w:p>
        </w:tc>
        <w:tc>
          <w:tcPr>
            <w:tcW w:w="0" w:type="dxa"/>
            <w:vAlign w:val="bottom"/>
          </w:tcPr>
          <w:p>
            <w:pPr>
              <w:spacing w:after="0"/>
              <w:rPr>
                <w:sz w:val="1"/>
                <w:szCs w:val="1"/>
                <w:color w:val="auto"/>
              </w:rPr>
            </w:pPr>
          </w:p>
        </w:tc>
      </w:tr>
      <w:tr>
        <w:trPr>
          <w:trHeight w:val="94"/>
        </w:trPr>
        <w:tc>
          <w:tcPr>
            <w:tcW w:w="3780" w:type="dxa"/>
            <w:vAlign w:val="bottom"/>
            <w:tcBorders>
              <w:bottom w:val="single" w:sz="8" w:color="auto"/>
            </w:tcBorders>
          </w:tcPr>
          <w:p>
            <w:pPr>
              <w:spacing w:after="0"/>
              <w:rPr>
                <w:sz w:val="8"/>
                <w:szCs w:val="8"/>
                <w:color w:val="auto"/>
              </w:rPr>
            </w:pPr>
          </w:p>
        </w:tc>
        <w:tc>
          <w:tcPr>
            <w:tcW w:w="4260" w:type="dxa"/>
            <w:vAlign w:val="bottom"/>
            <w:vMerge w:val="restart"/>
          </w:tcPr>
          <w:p>
            <w:pPr>
              <w:jc w:val="center"/>
              <w:ind w:left="950"/>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116"/>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2"/>
              </w:rPr>
              <w:t>Keith A. Jezek</w:t>
            </w:r>
          </w:p>
        </w:tc>
        <w:tc>
          <w:tcPr>
            <w:tcW w:w="4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80" w:type="dxa"/>
            <w:vAlign w:val="bottom"/>
            <w:vMerge w:val="continue"/>
          </w:tcPr>
          <w:p>
            <w:pPr>
              <w:spacing w:after="0"/>
              <w:rPr>
                <w:sz w:val="9"/>
                <w:szCs w:val="9"/>
                <w:color w:val="auto"/>
              </w:rPr>
            </w:pPr>
          </w:p>
        </w:tc>
        <w:tc>
          <w:tcPr>
            <w:tcW w:w="4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2"/>
        </w:trPr>
        <w:tc>
          <w:tcPr>
            <w:tcW w:w="3780" w:type="dxa"/>
            <w:vAlign w:val="bottom"/>
          </w:tcPr>
          <w:p>
            <w:pPr>
              <w:jc w:val="center"/>
              <w:spacing w:after="0"/>
              <w:rPr>
                <w:sz w:val="20"/>
                <w:szCs w:val="20"/>
                <w:color w:val="auto"/>
              </w:rPr>
            </w:pPr>
            <w:r>
              <w:rPr>
                <w:rFonts w:ascii="Arial" w:cs="Arial" w:eastAsia="Arial" w:hAnsi="Arial"/>
                <w:sz w:val="18"/>
                <w:szCs w:val="18"/>
                <w:color w:val="auto"/>
                <w:w w:val="89"/>
              </w:rPr>
              <w:t>/s/ Charles D. Jehl</w:t>
            </w:r>
          </w:p>
        </w:tc>
        <w:tc>
          <w:tcPr>
            <w:tcW w:w="4260" w:type="dxa"/>
            <w:vAlign w:val="bottom"/>
          </w:tcPr>
          <w:p>
            <w:pPr>
              <w:jc w:val="center"/>
              <w:ind w:left="930"/>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94"/>
        </w:trPr>
        <w:tc>
          <w:tcPr>
            <w:tcW w:w="3780" w:type="dxa"/>
            <w:vAlign w:val="bottom"/>
            <w:tcBorders>
              <w:bottom w:val="single" w:sz="8" w:color="auto"/>
            </w:tcBorders>
          </w:tcPr>
          <w:p>
            <w:pPr>
              <w:spacing w:after="0"/>
              <w:rPr>
                <w:sz w:val="8"/>
                <w:szCs w:val="8"/>
                <w:color w:val="auto"/>
              </w:rPr>
            </w:pPr>
          </w:p>
        </w:tc>
        <w:tc>
          <w:tcPr>
            <w:tcW w:w="4260" w:type="dxa"/>
            <w:vAlign w:val="bottom"/>
            <w:vMerge w:val="restart"/>
          </w:tcPr>
          <w:p>
            <w:pPr>
              <w:jc w:val="center"/>
              <w:ind w:left="950"/>
              <w:spacing w:after="0"/>
              <w:rPr>
                <w:sz w:val="20"/>
                <w:szCs w:val="20"/>
                <w:color w:val="auto"/>
              </w:rPr>
            </w:pPr>
            <w:r>
              <w:rPr>
                <w:rFonts w:ascii="Arial" w:cs="Arial" w:eastAsia="Arial" w:hAnsi="Arial"/>
                <w:sz w:val="18"/>
                <w:szCs w:val="18"/>
                <w:color w:val="auto"/>
                <w:w w:val="93"/>
              </w:rPr>
              <w:t>(Principal Financial and Accounting Officer)</w:t>
            </w:r>
          </w:p>
        </w:tc>
        <w:tc>
          <w:tcPr>
            <w:tcW w:w="0" w:type="dxa"/>
            <w:vAlign w:val="bottom"/>
          </w:tcPr>
          <w:p>
            <w:pPr>
              <w:spacing w:after="0"/>
              <w:rPr>
                <w:sz w:val="1"/>
                <w:szCs w:val="1"/>
                <w:color w:val="auto"/>
              </w:rPr>
            </w:pPr>
          </w:p>
        </w:tc>
      </w:tr>
      <w:tr>
        <w:trPr>
          <w:trHeight w:val="116"/>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89"/>
              </w:rPr>
              <w:t>Charles D. Jehl</w:t>
            </w:r>
          </w:p>
        </w:tc>
        <w:tc>
          <w:tcPr>
            <w:tcW w:w="4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80" w:type="dxa"/>
            <w:vAlign w:val="bottom"/>
            <w:vMerge w:val="continue"/>
          </w:tcPr>
          <w:p>
            <w:pPr>
              <w:spacing w:after="0"/>
              <w:rPr>
                <w:sz w:val="9"/>
                <w:szCs w:val="9"/>
                <w:color w:val="auto"/>
              </w:rPr>
            </w:pPr>
          </w:p>
        </w:tc>
        <w:tc>
          <w:tcPr>
            <w:tcW w:w="4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6"/>
        </w:trPr>
        <w:tc>
          <w:tcPr>
            <w:tcW w:w="3780" w:type="dxa"/>
            <w:vAlign w:val="bottom"/>
          </w:tcPr>
          <w:p>
            <w:pPr>
              <w:jc w:val="center"/>
              <w:spacing w:after="0"/>
              <w:rPr>
                <w:sz w:val="20"/>
                <w:szCs w:val="20"/>
                <w:color w:val="auto"/>
              </w:rPr>
            </w:pPr>
            <w:r>
              <w:rPr>
                <w:rFonts w:ascii="Arial" w:cs="Arial" w:eastAsia="Arial" w:hAnsi="Arial"/>
                <w:sz w:val="18"/>
                <w:szCs w:val="18"/>
                <w:color w:val="auto"/>
                <w:w w:val="89"/>
              </w:rPr>
              <w:t>/s/ John J. Flynn</w:t>
            </w:r>
          </w:p>
        </w:tc>
        <w:tc>
          <w:tcPr>
            <w:tcW w:w="4260" w:type="dxa"/>
            <w:vAlign w:val="bottom"/>
          </w:tcPr>
          <w:p>
            <w:pPr>
              <w:jc w:val="center"/>
              <w:ind w:left="93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0"/>
        </w:trPr>
        <w:tc>
          <w:tcPr>
            <w:tcW w:w="3780" w:type="dxa"/>
            <w:vAlign w:val="bottom"/>
            <w:tcBorders>
              <w:bottom w:val="single" w:sz="8" w:color="auto"/>
            </w:tcBorders>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1"/>
              </w:rPr>
              <w:t>John J. Flynn</w:t>
            </w: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6"/>
        </w:trPr>
        <w:tc>
          <w:tcPr>
            <w:tcW w:w="3780" w:type="dxa"/>
            <w:vAlign w:val="bottom"/>
          </w:tcPr>
          <w:p>
            <w:pPr>
              <w:jc w:val="center"/>
              <w:spacing w:after="0"/>
              <w:rPr>
                <w:sz w:val="20"/>
                <w:szCs w:val="20"/>
                <w:color w:val="auto"/>
              </w:rPr>
            </w:pPr>
            <w:r>
              <w:rPr>
                <w:rFonts w:ascii="Arial" w:cs="Arial" w:eastAsia="Arial" w:hAnsi="Arial"/>
                <w:sz w:val="18"/>
                <w:szCs w:val="18"/>
                <w:color w:val="auto"/>
                <w:w w:val="91"/>
              </w:rPr>
              <w:t>/s/ Adam H. Clammer</w:t>
            </w:r>
          </w:p>
        </w:tc>
        <w:tc>
          <w:tcPr>
            <w:tcW w:w="4260" w:type="dxa"/>
            <w:vAlign w:val="bottom"/>
          </w:tcPr>
          <w:p>
            <w:pPr>
              <w:jc w:val="center"/>
              <w:ind w:left="93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0"/>
        </w:trPr>
        <w:tc>
          <w:tcPr>
            <w:tcW w:w="3780" w:type="dxa"/>
            <w:vAlign w:val="bottom"/>
            <w:tcBorders>
              <w:bottom w:val="single" w:sz="8" w:color="auto"/>
            </w:tcBorders>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3"/>
              </w:rPr>
              <w:t>Adam H. Clammer</w:t>
            </w: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6"/>
        </w:trPr>
        <w:tc>
          <w:tcPr>
            <w:tcW w:w="3780" w:type="dxa"/>
            <w:vAlign w:val="bottom"/>
          </w:tcPr>
          <w:p>
            <w:pPr>
              <w:jc w:val="center"/>
              <w:spacing w:after="0"/>
              <w:rPr>
                <w:sz w:val="20"/>
                <w:szCs w:val="20"/>
                <w:color w:val="auto"/>
              </w:rPr>
            </w:pPr>
            <w:r>
              <w:rPr>
                <w:rFonts w:ascii="Arial" w:cs="Arial" w:eastAsia="Arial" w:hAnsi="Arial"/>
                <w:sz w:val="18"/>
                <w:szCs w:val="18"/>
                <w:color w:val="auto"/>
                <w:w w:val="92"/>
              </w:rPr>
              <w:t>/s/ Eric A. Feldstein</w:t>
            </w:r>
          </w:p>
        </w:tc>
        <w:tc>
          <w:tcPr>
            <w:tcW w:w="4260" w:type="dxa"/>
            <w:vAlign w:val="bottom"/>
          </w:tcPr>
          <w:p>
            <w:pPr>
              <w:jc w:val="center"/>
              <w:ind w:left="93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0"/>
        </w:trPr>
        <w:tc>
          <w:tcPr>
            <w:tcW w:w="3780" w:type="dxa"/>
            <w:vAlign w:val="bottom"/>
            <w:tcBorders>
              <w:bottom w:val="single" w:sz="8" w:color="auto"/>
            </w:tcBorders>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3"/>
              </w:rPr>
              <w:t>Eric A. Feldstein</w:t>
            </w: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6"/>
        </w:trPr>
        <w:tc>
          <w:tcPr>
            <w:tcW w:w="3780" w:type="dxa"/>
            <w:vAlign w:val="bottom"/>
          </w:tcPr>
          <w:p>
            <w:pPr>
              <w:jc w:val="center"/>
              <w:spacing w:after="0"/>
              <w:rPr>
                <w:sz w:val="20"/>
                <w:szCs w:val="20"/>
                <w:color w:val="auto"/>
              </w:rPr>
            </w:pPr>
            <w:r>
              <w:rPr>
                <w:rFonts w:ascii="Arial" w:cs="Arial" w:eastAsia="Arial" w:hAnsi="Arial"/>
                <w:sz w:val="18"/>
                <w:szCs w:val="18"/>
                <w:color w:val="auto"/>
                <w:w w:val="90"/>
              </w:rPr>
              <w:t>/s/ Blair J. Greenberg</w:t>
            </w:r>
          </w:p>
        </w:tc>
        <w:tc>
          <w:tcPr>
            <w:tcW w:w="4260" w:type="dxa"/>
            <w:vAlign w:val="bottom"/>
          </w:tcPr>
          <w:p>
            <w:pPr>
              <w:jc w:val="center"/>
              <w:ind w:left="93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0"/>
        </w:trPr>
        <w:tc>
          <w:tcPr>
            <w:tcW w:w="3780" w:type="dxa"/>
            <w:vAlign w:val="bottom"/>
            <w:tcBorders>
              <w:bottom w:val="single" w:sz="8" w:color="auto"/>
            </w:tcBorders>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0"/>
              </w:rPr>
              <w:t>Blair J. Greenberg</w:t>
            </w: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6"/>
        </w:trPr>
        <w:tc>
          <w:tcPr>
            <w:tcW w:w="3780" w:type="dxa"/>
            <w:vAlign w:val="bottom"/>
          </w:tcPr>
          <w:p>
            <w:pPr>
              <w:jc w:val="center"/>
              <w:spacing w:after="0"/>
              <w:rPr>
                <w:sz w:val="20"/>
                <w:szCs w:val="20"/>
                <w:color w:val="auto"/>
              </w:rPr>
            </w:pPr>
            <w:r>
              <w:rPr>
                <w:rFonts w:ascii="Arial" w:cs="Arial" w:eastAsia="Arial" w:hAnsi="Arial"/>
                <w:sz w:val="18"/>
                <w:szCs w:val="18"/>
                <w:color w:val="auto"/>
                <w:w w:val="95"/>
              </w:rPr>
              <w:t>/s/ William Heldfond</w:t>
            </w:r>
          </w:p>
        </w:tc>
        <w:tc>
          <w:tcPr>
            <w:tcW w:w="4260" w:type="dxa"/>
            <w:vAlign w:val="bottom"/>
          </w:tcPr>
          <w:p>
            <w:pPr>
              <w:jc w:val="center"/>
              <w:ind w:left="93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0"/>
        </w:trPr>
        <w:tc>
          <w:tcPr>
            <w:tcW w:w="3780" w:type="dxa"/>
            <w:vAlign w:val="bottom"/>
            <w:tcBorders>
              <w:bottom w:val="single" w:sz="8" w:color="auto"/>
            </w:tcBorders>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6"/>
              </w:rPr>
              <w:t>William Heldfond</w:t>
            </w: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6"/>
        </w:trPr>
        <w:tc>
          <w:tcPr>
            <w:tcW w:w="3780" w:type="dxa"/>
            <w:vAlign w:val="bottom"/>
          </w:tcPr>
          <w:p>
            <w:pPr>
              <w:jc w:val="center"/>
              <w:spacing w:after="0"/>
              <w:rPr>
                <w:sz w:val="20"/>
                <w:szCs w:val="20"/>
                <w:color w:val="auto"/>
              </w:rPr>
            </w:pPr>
            <w:r>
              <w:rPr>
                <w:rFonts w:ascii="Arial" w:cs="Arial" w:eastAsia="Arial" w:hAnsi="Arial"/>
                <w:sz w:val="18"/>
                <w:szCs w:val="18"/>
                <w:color w:val="auto"/>
                <w:w w:val="89"/>
              </w:rPr>
              <w:t>/s/ Shubhi S. Rao</w:t>
            </w:r>
          </w:p>
        </w:tc>
        <w:tc>
          <w:tcPr>
            <w:tcW w:w="4260" w:type="dxa"/>
            <w:vAlign w:val="bottom"/>
          </w:tcPr>
          <w:p>
            <w:pPr>
              <w:jc w:val="center"/>
              <w:ind w:left="93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0"/>
        </w:trPr>
        <w:tc>
          <w:tcPr>
            <w:tcW w:w="3780" w:type="dxa"/>
            <w:vAlign w:val="bottom"/>
            <w:tcBorders>
              <w:bottom w:val="single" w:sz="8" w:color="auto"/>
            </w:tcBorders>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87"/>
              </w:rPr>
              <w:t>Shubhi S. Rao</w:t>
            </w: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6"/>
        </w:trPr>
        <w:tc>
          <w:tcPr>
            <w:tcW w:w="3780" w:type="dxa"/>
            <w:vAlign w:val="bottom"/>
          </w:tcPr>
          <w:p>
            <w:pPr>
              <w:jc w:val="center"/>
              <w:spacing w:after="0"/>
              <w:rPr>
                <w:sz w:val="20"/>
                <w:szCs w:val="20"/>
                <w:color w:val="auto"/>
              </w:rPr>
            </w:pPr>
            <w:r>
              <w:rPr>
                <w:rFonts w:ascii="Arial" w:cs="Arial" w:eastAsia="Arial" w:hAnsi="Arial"/>
                <w:sz w:val="18"/>
                <w:szCs w:val="18"/>
                <w:color w:val="auto"/>
                <w:w w:val="86"/>
              </w:rPr>
              <w:t>/s/ Jessica Snyder</w:t>
            </w:r>
          </w:p>
        </w:tc>
        <w:tc>
          <w:tcPr>
            <w:tcW w:w="4260" w:type="dxa"/>
            <w:vAlign w:val="bottom"/>
          </w:tcPr>
          <w:p>
            <w:pPr>
              <w:jc w:val="center"/>
              <w:ind w:left="93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0"/>
        </w:trPr>
        <w:tc>
          <w:tcPr>
            <w:tcW w:w="3780" w:type="dxa"/>
            <w:vAlign w:val="bottom"/>
            <w:tcBorders>
              <w:bottom w:val="single" w:sz="8" w:color="auto"/>
            </w:tcBorders>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86"/>
              </w:rPr>
              <w:t>Jessica Snyder</w:t>
            </w: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6"/>
        </w:trPr>
        <w:tc>
          <w:tcPr>
            <w:tcW w:w="3780" w:type="dxa"/>
            <w:vAlign w:val="bottom"/>
          </w:tcPr>
          <w:p>
            <w:pPr>
              <w:jc w:val="center"/>
              <w:spacing w:after="0"/>
              <w:rPr>
                <w:sz w:val="20"/>
                <w:szCs w:val="20"/>
                <w:color w:val="auto"/>
              </w:rPr>
            </w:pPr>
            <w:r>
              <w:rPr>
                <w:rFonts w:ascii="Arial" w:cs="Arial" w:eastAsia="Arial" w:hAnsi="Arial"/>
                <w:sz w:val="18"/>
                <w:szCs w:val="18"/>
                <w:color w:val="auto"/>
                <w:w w:val="88"/>
              </w:rPr>
              <w:t>/s/ Gene Yoon</w:t>
            </w:r>
          </w:p>
        </w:tc>
        <w:tc>
          <w:tcPr>
            <w:tcW w:w="4260" w:type="dxa"/>
            <w:vAlign w:val="bottom"/>
          </w:tcPr>
          <w:p>
            <w:pPr>
              <w:jc w:val="center"/>
              <w:ind w:left="93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1"/>
        </w:trPr>
        <w:tc>
          <w:tcPr>
            <w:tcW w:w="3780" w:type="dxa"/>
            <w:vAlign w:val="bottom"/>
            <w:tcBorders>
              <w:bottom w:val="single" w:sz="8" w:color="auto"/>
            </w:tcBorders>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89"/>
              </w:rPr>
              <w:t>Gene Yoon</w:t>
            </w: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382" w:lineRule="exact"/>
        <w:rPr>
          <w:sz w:val="20"/>
          <w:szCs w:val="20"/>
          <w:color w:val="auto"/>
        </w:rPr>
      </w:pPr>
    </w:p>
    <w:p>
      <w:pPr>
        <w:sectPr>
          <w:pgSz w:w="11900" w:h="16838" w:orient="portrait"/>
          <w:cols w:equalWidth="0" w:num="2">
            <w:col w:w="8800" w:space="720"/>
            <w:col w:w="1660"/>
          </w:cols>
          <w:pgMar w:left="320" w:top="1093"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type w:val="continuous"/>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538"/>
        </w:trPr>
        <w:tc>
          <w:tcPr>
            <w:tcW w:w="20" w:type="dxa"/>
            <w:vAlign w:val="bottom"/>
          </w:tcPr>
          <w:p>
            <w:pPr>
              <w:spacing w:after="0"/>
              <w:rPr>
                <w:sz w:val="24"/>
                <w:szCs w:val="24"/>
                <w:color w:val="auto"/>
              </w:rPr>
            </w:pPr>
          </w:p>
        </w:tc>
        <w:tc>
          <w:tcPr>
            <w:tcW w:w="9200" w:type="dxa"/>
            <w:vAlign w:val="bottom"/>
            <w:gridSpan w:val="8"/>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42)</w:t>
            </w:r>
          </w:p>
        </w:tc>
        <w:tc>
          <w:tcPr>
            <w:tcW w:w="20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5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Report of Independent Registered Public Accounting Firm on Internal Control over Financial Reporting</w:t>
            </w:r>
          </w:p>
        </w:tc>
        <w:tc>
          <w:tcPr>
            <w:tcW w:w="170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04"/>
        </w:trPr>
        <w:tc>
          <w:tcPr>
            <w:tcW w:w="20" w:type="dxa"/>
            <w:vAlign w:val="bottom"/>
          </w:tcPr>
          <w:p>
            <w:pPr>
              <w:spacing w:after="0"/>
              <w:rPr>
                <w:sz w:val="24"/>
                <w:szCs w:val="24"/>
                <w:color w:val="auto"/>
              </w:rPr>
            </w:pPr>
          </w:p>
        </w:tc>
        <w:tc>
          <w:tcPr>
            <w:tcW w:w="2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8"/>
              </w:rPr>
              <w:t>Consolidated Balance Sheets</w:t>
            </w:r>
          </w:p>
        </w:tc>
        <w:tc>
          <w:tcPr>
            <w:tcW w:w="7100" w:type="dxa"/>
            <w:vAlign w:val="bottom"/>
            <w:gridSpan w:val="7"/>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63"/>
        </w:trPr>
        <w:tc>
          <w:tcPr>
            <w:tcW w:w="20" w:type="dxa"/>
            <w:vAlign w:val="bottom"/>
          </w:tcPr>
          <w:p>
            <w:pPr>
              <w:spacing w:after="0"/>
              <w:rPr>
                <w:sz w:val="22"/>
                <w:szCs w:val="22"/>
                <w:color w:val="auto"/>
              </w:rPr>
            </w:pPr>
          </w:p>
        </w:tc>
        <w:tc>
          <w:tcPr>
            <w:tcW w:w="28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Consolidated Statements of Operations</w:t>
            </w:r>
          </w:p>
        </w:tc>
        <w:tc>
          <w:tcPr>
            <w:tcW w:w="6380" w:type="dxa"/>
            <w:vAlign w:val="bottom"/>
            <w:gridSpan w:val="6"/>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63"/>
        </w:trPr>
        <w:tc>
          <w:tcPr>
            <w:tcW w:w="20" w:type="dxa"/>
            <w:vAlign w:val="bottom"/>
          </w:tcPr>
          <w:p>
            <w:pPr>
              <w:spacing w:after="0"/>
              <w:rPr>
                <w:sz w:val="22"/>
                <w:szCs w:val="22"/>
                <w:color w:val="auto"/>
              </w:rPr>
            </w:pPr>
          </w:p>
        </w:tc>
        <w:tc>
          <w:tcPr>
            <w:tcW w:w="9200" w:type="dxa"/>
            <w:vAlign w:val="bottom"/>
            <w:gridSpan w:val="8"/>
          </w:tcPr>
          <w:p>
            <w:pPr>
              <w:spacing w:after="0"/>
              <w:rPr>
                <w:sz w:val="20"/>
                <w:szCs w:val="20"/>
                <w:color w:val="auto"/>
              </w:rPr>
            </w:pPr>
            <w:r>
              <w:rPr>
                <w:rFonts w:ascii="Arial" w:cs="Arial" w:eastAsia="Arial" w:hAnsi="Arial"/>
                <w:sz w:val="18"/>
                <w:szCs w:val="18"/>
                <w:color w:val="0000FF"/>
              </w:rPr>
              <w:t>Consolidated Statements of Changes in Stockholders’ Equity (Deficit)</w:t>
            </w:r>
          </w:p>
        </w:tc>
        <w:tc>
          <w:tcPr>
            <w:tcW w:w="202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64"/>
        </w:trPr>
        <w:tc>
          <w:tcPr>
            <w:tcW w:w="20" w:type="dxa"/>
            <w:vAlign w:val="bottom"/>
          </w:tcPr>
          <w:p>
            <w:pPr>
              <w:spacing w:after="0"/>
              <w:rPr>
                <w:sz w:val="22"/>
                <w:szCs w:val="22"/>
                <w:color w:val="auto"/>
              </w:rPr>
            </w:pPr>
          </w:p>
        </w:tc>
        <w:tc>
          <w:tcPr>
            <w:tcW w:w="28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9"/>
              </w:rPr>
              <w:t>Consolidated Statements of Cash Flows</w:t>
            </w:r>
          </w:p>
        </w:tc>
        <w:tc>
          <w:tcPr>
            <w:tcW w:w="2180" w:type="dxa"/>
            <w:vAlign w:val="bottom"/>
            <w:tcBorders>
              <w:top w:val="single" w:sz="8" w:color="0000FF"/>
            </w:tcBorders>
            <w:gridSpan w:val="3"/>
          </w:tcPr>
          <w:p>
            <w:pPr>
              <w:spacing w:after="0"/>
              <w:rPr>
                <w:sz w:val="22"/>
                <w:szCs w:val="22"/>
                <w:color w:val="auto"/>
              </w:rPr>
            </w:pPr>
          </w:p>
        </w:tc>
        <w:tc>
          <w:tcPr>
            <w:tcW w:w="4140" w:type="dxa"/>
            <w:vAlign w:val="bottom"/>
            <w:gridSpan w:val="2"/>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63"/>
        </w:trPr>
        <w:tc>
          <w:tcPr>
            <w:tcW w:w="20" w:type="dxa"/>
            <w:vAlign w:val="bottom"/>
          </w:tcPr>
          <w:p>
            <w:pPr>
              <w:spacing w:after="0"/>
              <w:rPr>
                <w:sz w:val="22"/>
                <w:szCs w:val="22"/>
                <w:color w:val="auto"/>
              </w:rPr>
            </w:pPr>
          </w:p>
        </w:tc>
        <w:tc>
          <w:tcPr>
            <w:tcW w:w="920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202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939"/>
        </w:trPr>
        <w:tc>
          <w:tcPr>
            <w:tcW w:w="2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140" w:type="dxa"/>
            <w:vAlign w:val="bottom"/>
            <w:gridSpan w:val="2"/>
          </w:tcPr>
          <w:p>
            <w:pPr>
              <w:ind w:left="420"/>
              <w:spacing w:after="0"/>
              <w:rPr>
                <w:sz w:val="20"/>
                <w:szCs w:val="20"/>
                <w:color w:val="auto"/>
              </w:rPr>
            </w:pPr>
            <w:r>
              <w:rPr>
                <w:rFonts w:ascii="Arial" w:cs="Arial" w:eastAsia="Arial" w:hAnsi="Arial"/>
                <w:sz w:val="18"/>
                <w:szCs w:val="18"/>
                <w:color w:val="auto"/>
              </w:rPr>
              <w:t>F-1</w:t>
            </w:r>
          </w:p>
        </w:tc>
        <w:tc>
          <w:tcPr>
            <w:tcW w:w="20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Open Lending Corporation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We have audited the accompanying consolidated balance sheets of Open Lending Corporation (the Company) as of December 31, 2022 and 2021, the related consolidated statements of operations, changes in stockholders’ equity (deficit)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28, 2023 expressed an unqualified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9560" w:type="dxa"/>
            <w:vAlign w:val="bottom"/>
          </w:tcPr>
          <w:p>
            <w:pPr>
              <w:ind w:left="360"/>
              <w:spacing w:after="0"/>
              <w:rPr>
                <w:sz w:val="20"/>
                <w:szCs w:val="20"/>
                <w:color w:val="auto"/>
              </w:rPr>
            </w:pPr>
            <w:r>
              <w:rPr>
                <w:rFonts w:ascii="Arial" w:cs="Arial" w:eastAsia="Arial" w:hAnsi="Arial"/>
                <w:sz w:val="18"/>
                <w:szCs w:val="18"/>
                <w:b w:val="1"/>
                <w:bCs w:val="1"/>
                <w:color w:val="auto"/>
              </w:rPr>
              <w:t>Profit Share Revenue Recognition</w:t>
            </w:r>
          </w:p>
        </w:tc>
      </w:tr>
      <w:tr>
        <w:trPr>
          <w:trHeight w:val="350"/>
        </w:trPr>
        <w:tc>
          <w:tcPr>
            <w:tcW w:w="1680" w:type="dxa"/>
            <w:vAlign w:val="bottom"/>
          </w:tcPr>
          <w:p>
            <w:pPr>
              <w:ind w:left="20"/>
              <w:spacing w:after="0"/>
              <w:rPr>
                <w:sz w:val="20"/>
                <w:szCs w:val="20"/>
                <w:color w:val="auto"/>
              </w:rPr>
            </w:pPr>
            <w:r>
              <w:rPr>
                <w:rFonts w:ascii="Arial" w:cs="Arial" w:eastAsia="Arial" w:hAnsi="Arial"/>
                <w:sz w:val="18"/>
                <w:szCs w:val="18"/>
                <w:i w:val="1"/>
                <w:iCs w:val="1"/>
                <w:color w:val="auto"/>
              </w:rPr>
              <w:t>Description of the</w:t>
            </w:r>
          </w:p>
        </w:tc>
        <w:tc>
          <w:tcPr>
            <w:tcW w:w="9560" w:type="dxa"/>
            <w:vAlign w:val="bottom"/>
          </w:tcPr>
          <w:p>
            <w:pPr>
              <w:ind w:left="360"/>
              <w:spacing w:after="0"/>
              <w:rPr>
                <w:sz w:val="20"/>
                <w:szCs w:val="20"/>
                <w:color w:val="auto"/>
              </w:rPr>
            </w:pPr>
            <w:r>
              <w:rPr>
                <w:rFonts w:ascii="Arial" w:cs="Arial" w:eastAsia="Arial" w:hAnsi="Arial"/>
                <w:sz w:val="18"/>
                <w:szCs w:val="18"/>
                <w:color w:val="auto"/>
                <w:w w:val="90"/>
              </w:rPr>
              <w:t>As described in Note 2 to the consolidated financial statements, management uses forecasts of loan-level earned premiums and</w:t>
            </w:r>
          </w:p>
        </w:tc>
      </w:tr>
      <w:tr>
        <w:trPr>
          <w:trHeight w:val="189"/>
        </w:trPr>
        <w:tc>
          <w:tcPr>
            <w:tcW w:w="1680" w:type="dxa"/>
            <w:vAlign w:val="bottom"/>
          </w:tcPr>
          <w:p>
            <w:pPr>
              <w:ind w:left="20"/>
              <w:spacing w:after="0" w:line="189" w:lineRule="exact"/>
              <w:rPr>
                <w:sz w:val="20"/>
                <w:szCs w:val="20"/>
                <w:color w:val="auto"/>
              </w:rPr>
            </w:pPr>
            <w:r>
              <w:rPr>
                <w:rFonts w:ascii="Arial" w:cs="Arial" w:eastAsia="Arial" w:hAnsi="Arial"/>
                <w:sz w:val="18"/>
                <w:szCs w:val="18"/>
                <w:i w:val="1"/>
                <w:iCs w:val="1"/>
                <w:color w:val="auto"/>
              </w:rPr>
              <w:t>matter</w:t>
            </w:r>
          </w:p>
        </w:tc>
        <w:tc>
          <w:tcPr>
            <w:tcW w:w="9560" w:type="dxa"/>
            <w:vAlign w:val="bottom"/>
          </w:tcPr>
          <w:p>
            <w:pPr>
              <w:ind w:left="360"/>
              <w:spacing w:after="0" w:line="189" w:lineRule="exact"/>
              <w:rPr>
                <w:sz w:val="20"/>
                <w:szCs w:val="20"/>
                <w:color w:val="auto"/>
              </w:rPr>
            </w:pPr>
            <w:r>
              <w:rPr>
                <w:rFonts w:ascii="Arial" w:cs="Arial" w:eastAsia="Arial" w:hAnsi="Arial"/>
                <w:sz w:val="18"/>
                <w:szCs w:val="18"/>
                <w:color w:val="auto"/>
                <w:w w:val="92"/>
              </w:rPr>
              <w:t>insurance claim payments to estimate profit share revenue expected to be received from third-party insurance providers over</w:t>
            </w:r>
          </w:p>
        </w:tc>
      </w:tr>
      <w:tr>
        <w:trPr>
          <w:trHeight w:val="189"/>
        </w:trPr>
        <w:tc>
          <w:tcPr>
            <w:tcW w:w="1680" w:type="dxa"/>
            <w:vAlign w:val="bottom"/>
          </w:tcPr>
          <w:p>
            <w:pPr>
              <w:spacing w:after="0"/>
              <w:rPr>
                <w:sz w:val="16"/>
                <w:szCs w:val="16"/>
                <w:color w:val="auto"/>
              </w:rPr>
            </w:pPr>
          </w:p>
        </w:tc>
        <w:tc>
          <w:tcPr>
            <w:tcW w:w="9560" w:type="dxa"/>
            <w:vAlign w:val="bottom"/>
          </w:tcPr>
          <w:p>
            <w:pPr>
              <w:ind w:left="360"/>
              <w:spacing w:after="0" w:line="189" w:lineRule="exact"/>
              <w:rPr>
                <w:sz w:val="20"/>
                <w:szCs w:val="20"/>
                <w:color w:val="auto"/>
              </w:rPr>
            </w:pPr>
            <w:r>
              <w:rPr>
                <w:rFonts w:ascii="Arial" w:cs="Arial" w:eastAsia="Arial" w:hAnsi="Arial"/>
                <w:sz w:val="18"/>
                <w:szCs w:val="18"/>
                <w:color w:val="auto"/>
                <w:w w:val="89"/>
              </w:rPr>
              <w:t>the life of each loan. Forecasts are driven by management’s projections of loan defaults, prepayments, and severity rates. These</w:t>
            </w:r>
          </w:p>
        </w:tc>
      </w:tr>
      <w:tr>
        <w:trPr>
          <w:trHeight w:val="203"/>
        </w:trPr>
        <w:tc>
          <w:tcPr>
            <w:tcW w:w="1680" w:type="dxa"/>
            <w:vAlign w:val="bottom"/>
          </w:tcPr>
          <w:p>
            <w:pPr>
              <w:spacing w:after="0"/>
              <w:rPr>
                <w:sz w:val="17"/>
                <w:szCs w:val="17"/>
                <w:color w:val="auto"/>
              </w:rPr>
            </w:pPr>
          </w:p>
        </w:tc>
        <w:tc>
          <w:tcPr>
            <w:tcW w:w="9560" w:type="dxa"/>
            <w:vAlign w:val="bottom"/>
          </w:tcPr>
          <w:p>
            <w:pPr>
              <w:ind w:left="360"/>
              <w:spacing w:after="0" w:line="202" w:lineRule="exact"/>
              <w:rPr>
                <w:sz w:val="20"/>
                <w:szCs w:val="20"/>
                <w:color w:val="auto"/>
              </w:rPr>
            </w:pPr>
            <w:r>
              <w:rPr>
                <w:rFonts w:ascii="Arial" w:cs="Arial" w:eastAsia="Arial" w:hAnsi="Arial"/>
                <w:sz w:val="18"/>
                <w:szCs w:val="18"/>
                <w:color w:val="auto"/>
                <w:w w:val="96"/>
              </w:rPr>
              <w:t>assumptions are based on expectations regarding future economic conditions as well as management’s observations of</w:t>
            </w:r>
          </w:p>
        </w:tc>
      </w:tr>
      <w:tr>
        <w:trPr>
          <w:trHeight w:val="230"/>
        </w:trPr>
        <w:tc>
          <w:tcPr>
            <w:tcW w:w="1680" w:type="dxa"/>
            <w:vAlign w:val="bottom"/>
          </w:tcPr>
          <w:p>
            <w:pPr>
              <w:spacing w:after="0"/>
              <w:rPr>
                <w:sz w:val="20"/>
                <w:szCs w:val="20"/>
                <w:color w:val="auto"/>
              </w:rPr>
            </w:pPr>
          </w:p>
        </w:tc>
        <w:tc>
          <w:tcPr>
            <w:tcW w:w="9560" w:type="dxa"/>
            <w:vAlign w:val="bottom"/>
          </w:tcPr>
          <w:p>
            <w:pPr>
              <w:ind w:left="360"/>
              <w:spacing w:after="0"/>
              <w:rPr>
                <w:sz w:val="20"/>
                <w:szCs w:val="20"/>
                <w:color w:val="auto"/>
              </w:rPr>
            </w:pPr>
            <w:r>
              <w:rPr>
                <w:rFonts w:ascii="Arial" w:cs="Arial" w:eastAsia="Arial" w:hAnsi="Arial"/>
                <w:sz w:val="18"/>
                <w:szCs w:val="18"/>
                <w:color w:val="auto"/>
              </w:rPr>
              <w:t>historical behavior for loans with similar risk characteristics.</w:t>
            </w:r>
          </w:p>
        </w:tc>
      </w:tr>
      <w:tr>
        <w:trPr>
          <w:trHeight w:val="202"/>
        </w:trPr>
        <w:tc>
          <w:tcPr>
            <w:tcW w:w="1680" w:type="dxa"/>
            <w:vAlign w:val="bottom"/>
          </w:tcPr>
          <w:p>
            <w:pPr>
              <w:spacing w:after="0"/>
              <w:rPr>
                <w:sz w:val="17"/>
                <w:szCs w:val="17"/>
                <w:color w:val="auto"/>
              </w:rPr>
            </w:pPr>
          </w:p>
        </w:tc>
        <w:tc>
          <w:tcPr>
            <w:tcW w:w="9560" w:type="dxa"/>
            <w:vAlign w:val="bottom"/>
          </w:tcPr>
          <w:p>
            <w:pPr>
              <w:ind w:left="360"/>
              <w:spacing w:after="0" w:line="201" w:lineRule="exact"/>
              <w:rPr>
                <w:sz w:val="20"/>
                <w:szCs w:val="20"/>
                <w:color w:val="auto"/>
              </w:rPr>
            </w:pPr>
            <w:r>
              <w:rPr>
                <w:rFonts w:ascii="Arial" w:cs="Arial" w:eastAsia="Arial" w:hAnsi="Arial"/>
                <w:sz w:val="18"/>
                <w:szCs w:val="18"/>
                <w:color w:val="auto"/>
                <w:w w:val="92"/>
              </w:rPr>
              <w:t>Auditing management’s estimate of profit share revenue is complex because the recognition involves significant management</w:t>
            </w:r>
          </w:p>
        </w:tc>
      </w:tr>
      <w:tr>
        <w:trPr>
          <w:trHeight w:val="189"/>
        </w:trPr>
        <w:tc>
          <w:tcPr>
            <w:tcW w:w="1680" w:type="dxa"/>
            <w:vAlign w:val="bottom"/>
          </w:tcPr>
          <w:p>
            <w:pPr>
              <w:spacing w:after="0"/>
              <w:rPr>
                <w:sz w:val="16"/>
                <w:szCs w:val="16"/>
                <w:color w:val="auto"/>
              </w:rPr>
            </w:pPr>
          </w:p>
        </w:tc>
        <w:tc>
          <w:tcPr>
            <w:tcW w:w="9560" w:type="dxa"/>
            <w:vAlign w:val="bottom"/>
          </w:tcPr>
          <w:p>
            <w:pPr>
              <w:ind w:left="360"/>
              <w:spacing w:after="0" w:line="189" w:lineRule="exact"/>
              <w:rPr>
                <w:sz w:val="20"/>
                <w:szCs w:val="20"/>
                <w:color w:val="auto"/>
              </w:rPr>
            </w:pPr>
            <w:r>
              <w:rPr>
                <w:rFonts w:ascii="Arial" w:cs="Arial" w:eastAsia="Arial" w:hAnsi="Arial"/>
                <w:sz w:val="18"/>
                <w:szCs w:val="18"/>
                <w:color w:val="auto"/>
                <w:w w:val="91"/>
              </w:rPr>
              <w:t>judgment about expected future consideration to be received from third-party insurance providers over the life of the loan. The</w:t>
            </w:r>
          </w:p>
        </w:tc>
      </w:tr>
      <w:tr>
        <w:trPr>
          <w:trHeight w:val="189"/>
        </w:trPr>
        <w:tc>
          <w:tcPr>
            <w:tcW w:w="1680" w:type="dxa"/>
            <w:vAlign w:val="bottom"/>
          </w:tcPr>
          <w:p>
            <w:pPr>
              <w:spacing w:after="0"/>
              <w:rPr>
                <w:sz w:val="16"/>
                <w:szCs w:val="16"/>
                <w:color w:val="auto"/>
              </w:rPr>
            </w:pPr>
          </w:p>
        </w:tc>
        <w:tc>
          <w:tcPr>
            <w:tcW w:w="9560" w:type="dxa"/>
            <w:vAlign w:val="bottom"/>
          </w:tcPr>
          <w:p>
            <w:pPr>
              <w:ind w:left="360"/>
              <w:spacing w:after="0" w:line="189" w:lineRule="exact"/>
              <w:rPr>
                <w:sz w:val="20"/>
                <w:szCs w:val="20"/>
                <w:color w:val="auto"/>
              </w:rPr>
            </w:pPr>
            <w:r>
              <w:rPr>
                <w:rFonts w:ascii="Arial" w:cs="Arial" w:eastAsia="Arial" w:hAnsi="Arial"/>
                <w:sz w:val="18"/>
                <w:szCs w:val="18"/>
                <w:color w:val="auto"/>
                <w:w w:val="93"/>
              </w:rPr>
              <w:t>significant assumptions used in the estimated variable consideration reflects management’s estimate of future loan defaults,</w:t>
            </w:r>
          </w:p>
        </w:tc>
      </w:tr>
      <w:tr>
        <w:trPr>
          <w:trHeight w:val="203"/>
        </w:trPr>
        <w:tc>
          <w:tcPr>
            <w:tcW w:w="1680" w:type="dxa"/>
            <w:vAlign w:val="bottom"/>
          </w:tcPr>
          <w:p>
            <w:pPr>
              <w:spacing w:after="0"/>
              <w:rPr>
                <w:sz w:val="17"/>
                <w:szCs w:val="17"/>
                <w:color w:val="auto"/>
              </w:rPr>
            </w:pPr>
          </w:p>
        </w:tc>
        <w:tc>
          <w:tcPr>
            <w:tcW w:w="9560" w:type="dxa"/>
            <w:vAlign w:val="bottom"/>
          </w:tcPr>
          <w:p>
            <w:pPr>
              <w:ind w:left="360"/>
              <w:spacing w:after="0" w:line="202" w:lineRule="exact"/>
              <w:rPr>
                <w:sz w:val="20"/>
                <w:szCs w:val="20"/>
                <w:color w:val="auto"/>
              </w:rPr>
            </w:pPr>
            <w:r>
              <w:rPr>
                <w:rFonts w:ascii="Arial" w:cs="Arial" w:eastAsia="Arial" w:hAnsi="Arial"/>
                <w:sz w:val="18"/>
                <w:szCs w:val="18"/>
                <w:color w:val="auto"/>
                <w:w w:val="95"/>
              </w:rPr>
              <w:t>prepayments and severity rates. Changes in those assumptions can have a significant effect on total profit share revenue</w:t>
            </w:r>
          </w:p>
        </w:tc>
      </w:tr>
      <w:tr>
        <w:trPr>
          <w:trHeight w:val="230"/>
        </w:trPr>
        <w:tc>
          <w:tcPr>
            <w:tcW w:w="1680" w:type="dxa"/>
            <w:vAlign w:val="bottom"/>
          </w:tcPr>
          <w:p>
            <w:pPr>
              <w:spacing w:after="0"/>
              <w:rPr>
                <w:sz w:val="20"/>
                <w:szCs w:val="20"/>
                <w:color w:val="auto"/>
              </w:rPr>
            </w:pPr>
          </w:p>
        </w:tc>
        <w:tc>
          <w:tcPr>
            <w:tcW w:w="9560" w:type="dxa"/>
            <w:vAlign w:val="bottom"/>
          </w:tcPr>
          <w:p>
            <w:pPr>
              <w:ind w:left="360"/>
              <w:spacing w:after="0"/>
              <w:rPr>
                <w:sz w:val="20"/>
                <w:szCs w:val="20"/>
                <w:color w:val="auto"/>
              </w:rPr>
            </w:pPr>
            <w:r>
              <w:rPr>
                <w:rFonts w:ascii="Arial" w:cs="Arial" w:eastAsia="Arial" w:hAnsi="Arial"/>
                <w:sz w:val="18"/>
                <w:szCs w:val="18"/>
                <w:color w:val="auto"/>
              </w:rPr>
              <w:t>recognized.</w:t>
            </w:r>
          </w:p>
        </w:tc>
      </w:tr>
      <w:tr>
        <w:trPr>
          <w:trHeight w:val="864"/>
        </w:trPr>
        <w:tc>
          <w:tcPr>
            <w:tcW w:w="1680" w:type="dxa"/>
            <w:vAlign w:val="bottom"/>
          </w:tcPr>
          <w:p>
            <w:pPr>
              <w:spacing w:after="0"/>
              <w:rPr>
                <w:sz w:val="24"/>
                <w:szCs w:val="24"/>
                <w:color w:val="auto"/>
              </w:rPr>
            </w:pPr>
          </w:p>
        </w:tc>
        <w:tc>
          <w:tcPr>
            <w:tcW w:w="9560" w:type="dxa"/>
            <w:vAlign w:val="bottom"/>
          </w:tcPr>
          <w:p>
            <w:pPr>
              <w:ind w:left="3820"/>
              <w:spacing w:after="0"/>
              <w:rPr>
                <w:sz w:val="20"/>
                <w:szCs w:val="20"/>
                <w:color w:val="auto"/>
              </w:rPr>
            </w:pPr>
            <w:r>
              <w:rPr>
                <w:rFonts w:ascii="Arial" w:cs="Arial" w:eastAsia="Arial" w:hAnsi="Arial"/>
                <w:sz w:val="18"/>
                <w:szCs w:val="18"/>
                <w:color w:val="auto"/>
              </w:rPr>
              <w:t>F-2</w:t>
            </w:r>
          </w:p>
        </w:tc>
      </w:tr>
      <w:tr>
        <w:trPr>
          <w:trHeight w:val="115"/>
        </w:trPr>
        <w:tc>
          <w:tcPr>
            <w:tcW w:w="1680" w:type="dxa"/>
            <w:vAlign w:val="bottom"/>
            <w:tcBorders>
              <w:bottom w:val="single" w:sz="8" w:color="9A9A9A"/>
            </w:tcBorders>
          </w:tcPr>
          <w:p>
            <w:pPr>
              <w:spacing w:after="0"/>
              <w:rPr>
                <w:sz w:val="10"/>
                <w:szCs w:val="10"/>
                <w:color w:val="auto"/>
              </w:rPr>
            </w:pPr>
          </w:p>
        </w:tc>
        <w:tc>
          <w:tcPr>
            <w:tcW w:w="9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57" w:name="page58"/>
    <w:bookmarkEnd w:id="57"/>
    <w:p>
      <w:pPr>
        <w:ind w:left="20"/>
        <w:spacing w:after="0" w:line="273"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ind w:right="380"/>
        <w:spacing w:after="0" w:line="273"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process to estimate the variable consideration recognized as profit share revenue. For example, we tested controls over</w:t>
      </w:r>
    </w:p>
    <w:p>
      <w:pPr>
        <w:spacing w:after="0" w:line="1" w:lineRule="exact"/>
        <w:rPr>
          <w:sz w:val="20"/>
          <w:szCs w:val="20"/>
          <w:color w:val="auto"/>
        </w:rPr>
      </w:pPr>
    </w:p>
    <w:p>
      <w:pPr>
        <w:sectPr>
          <w:pgSz w:w="11900" w:h="16838" w:orient="portrait"/>
          <w:cols w:equalWidth="0" w:num="2">
            <w:col w:w="1640" w:space="400"/>
            <w:col w:w="9160"/>
          </w:cols>
          <w:pgMar w:left="320" w:top="1394" w:right="379" w:bottom="1440" w:gutter="0" w:footer="0" w:header="0"/>
        </w:sectPr>
      </w:pPr>
    </w:p>
    <w:p>
      <w:pPr>
        <w:ind w:left="2040" w:right="180"/>
        <w:spacing w:after="0" w:line="226" w:lineRule="auto"/>
        <w:rPr>
          <w:sz w:val="20"/>
          <w:szCs w:val="20"/>
          <w:color w:val="auto"/>
        </w:rPr>
      </w:pPr>
      <w:r>
        <w:rPr>
          <w:rFonts w:ascii="Arial" w:cs="Arial" w:eastAsia="Arial" w:hAnsi="Arial"/>
          <w:sz w:val="18"/>
          <w:szCs w:val="18"/>
          <w:color w:val="auto"/>
        </w:rPr>
        <w:t>management’s review of the variable consideration significant assumptions and the historical data utilized in the estimate for future loan defaults, prepayments and severity rates.</w:t>
      </w:r>
    </w:p>
    <w:p>
      <w:pPr>
        <w:spacing w:after="0" w:line="203" w:lineRule="exact"/>
        <w:rPr>
          <w:sz w:val="20"/>
          <w:szCs w:val="20"/>
          <w:color w:val="auto"/>
        </w:rPr>
      </w:pPr>
    </w:p>
    <w:p>
      <w:pPr>
        <w:ind w:left="2040" w:right="160"/>
        <w:spacing w:after="0" w:line="265" w:lineRule="auto"/>
        <w:rPr>
          <w:sz w:val="20"/>
          <w:szCs w:val="20"/>
          <w:color w:val="auto"/>
        </w:rPr>
      </w:pPr>
      <w:r>
        <w:rPr>
          <w:rFonts w:ascii="Arial" w:cs="Arial" w:eastAsia="Arial" w:hAnsi="Arial"/>
          <w:sz w:val="16"/>
          <w:szCs w:val="16"/>
          <w:color w:val="auto"/>
        </w:rPr>
        <w:t>To test the variable consideration recognized as profit share revenue, we performed audit procedures that included, among others, evaluating the methodology used to develop the significant assumptions, and tested the completeness and accuracy of</w:t>
      </w:r>
    </w:p>
    <w:p>
      <w:pPr>
        <w:spacing w:after="0" w:line="1" w:lineRule="exact"/>
        <w:rPr>
          <w:sz w:val="20"/>
          <w:szCs w:val="20"/>
          <w:color w:val="auto"/>
        </w:rPr>
      </w:pPr>
    </w:p>
    <w:p>
      <w:pPr>
        <w:ind w:left="2040"/>
        <w:spacing w:after="0" w:line="226" w:lineRule="auto"/>
        <w:rPr>
          <w:sz w:val="20"/>
          <w:szCs w:val="20"/>
          <w:color w:val="auto"/>
        </w:rPr>
      </w:pPr>
      <w:r>
        <w:rPr>
          <w:rFonts w:ascii="Arial" w:cs="Arial" w:eastAsia="Arial" w:hAnsi="Arial"/>
          <w:sz w:val="18"/>
          <w:szCs w:val="18"/>
          <w:color w:val="auto"/>
        </w:rPr>
        <w:t>the historical data used by the Company. We involved subject matter experts to assist in evaluating the appropriateness of the estimation methodology and underlying significant assumptions, including comparing to industry trends, market data and other market participants. We also evaluated the accuracy of management’s assumed profit share revenue from prior periods by comparing to subsequent actual activity.</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ectPr>
          <w:pgSz w:w="11900" w:h="16838" w:orient="portrait"/>
          <w:cols w:equalWidth="0" w:num="1">
            <w:col w:w="11200"/>
          </w:cols>
          <w:pgMar w:left="320" w:top="1394" w:right="379"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4" w:right="379" w:bottom="1440" w:gutter="0" w:footer="0" w:header="0"/>
          <w:type w:val="continuous"/>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Open Lending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Open Lending Corporation’s internal control over financial reporting as of December 31, 2022, based on criteria established in Internal Control—Integrated Framework issued by the Committee of Sponsoring Organizations of the Treadway Commission (2013 framework) (the COSO criteria). In our opinion, Open Lending Corporation (the Company) maintained, in all material respects, effective internal control over financial reporting as of December 31, 2022, based on the COSO criteria.</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Open Lending Corporation (the Company) as of December 31, 2022 and 2021, the related consolidated statements of operations, changes in stockholders' equity (deficit) and cash flows for each of the three years in the period ended December 31, 2022, and the related notes and our report dated February 28, 2023 expressed an unqualified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the Effectiveness of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6"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6"/>
          <w:szCs w:val="16"/>
          <w:b w:val="1"/>
          <w:bCs w:val="1"/>
          <w:color w:val="auto"/>
        </w:rPr>
        <w:t>(In thousands, except share data)</w:t>
      </w:r>
    </w:p>
    <w:p>
      <w:pPr>
        <w:spacing w:after="0" w:line="32" w:lineRule="exact"/>
        <w:rPr>
          <w:sz w:val="20"/>
          <w:szCs w:val="20"/>
          <w:color w:val="auto"/>
        </w:rPr>
      </w:pPr>
    </w:p>
    <w:p>
      <w:pPr>
        <w:ind w:left="8920"/>
        <w:spacing w:after="0"/>
        <w:rPr>
          <w:sz w:val="20"/>
          <w:szCs w:val="20"/>
          <w:color w:val="auto"/>
        </w:rPr>
      </w:pPr>
      <w:r>
        <w:rPr>
          <w:rFonts w:ascii="Arial" w:cs="Arial" w:eastAsia="Arial" w:hAnsi="Arial"/>
          <w:sz w:val="16"/>
          <w:szCs w:val="16"/>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4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116,454</w:t>
            </w:r>
          </w:p>
        </w:tc>
        <w:tc>
          <w:tcPr>
            <w:tcW w:w="0" w:type="dxa"/>
            <w:vAlign w:val="bottom"/>
          </w:tcPr>
          <w:p>
            <w:pPr>
              <w:spacing w:after="0"/>
              <w:rPr>
                <w:sz w:val="1"/>
                <w:szCs w:val="1"/>
                <w:color w:val="auto"/>
              </w:rPr>
            </w:pP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Restricted cash</w:t>
            </w: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4,069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3,055</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6,525</w:t>
            </w:r>
          </w:p>
        </w:tc>
        <w:tc>
          <w:tcPr>
            <w:tcW w:w="0" w:type="dxa"/>
            <w:vAlign w:val="bottom"/>
          </w:tcPr>
          <w:p>
            <w:pPr>
              <w:spacing w:after="0"/>
              <w:rPr>
                <w:sz w:val="1"/>
                <w:szCs w:val="1"/>
                <w:color w:val="auto"/>
              </w:rPr>
            </w:pP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Current contract assets, net</w:t>
            </w: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54,429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70,542</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receivable</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213"/>
        </w:trPr>
        <w:tc>
          <w:tcPr>
            <w:tcW w:w="75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assets</w:t>
            </w:r>
          </w:p>
        </w:tc>
        <w:tc>
          <w:tcPr>
            <w:tcW w:w="10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4,873</w:t>
            </w: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Total current assets</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280,744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202,794</w:t>
            </w:r>
          </w:p>
        </w:tc>
        <w:tc>
          <w:tcPr>
            <w:tcW w:w="0" w:type="dxa"/>
            <w:vAlign w:val="bottom"/>
          </w:tcPr>
          <w:p>
            <w:pPr>
              <w:spacing w:after="0"/>
              <w:rPr>
                <w:sz w:val="1"/>
                <w:szCs w:val="1"/>
                <w:color w:val="auto"/>
              </w:rPr>
            </w:pP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Property and equipment, net</w:t>
            </w: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2,573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2,663</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right-of-use asset, net</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5,189</w:t>
            </w:r>
          </w:p>
        </w:tc>
        <w:tc>
          <w:tcPr>
            <w:tcW w:w="0" w:type="dxa"/>
            <w:vAlign w:val="bottom"/>
          </w:tcPr>
          <w:p>
            <w:pPr>
              <w:spacing w:after="0"/>
              <w:rPr>
                <w:sz w:val="1"/>
                <w:szCs w:val="1"/>
                <w:color w:val="auto"/>
              </w:rPr>
            </w:pP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Contract assets, net</w:t>
            </w: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21,001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42,414</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tax asset, net</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65,503</w:t>
            </w:r>
          </w:p>
        </w:tc>
        <w:tc>
          <w:tcPr>
            <w:tcW w:w="0" w:type="dxa"/>
            <w:vAlign w:val="bottom"/>
          </w:tcPr>
          <w:p>
            <w:pPr>
              <w:spacing w:after="0"/>
              <w:rPr>
                <w:sz w:val="1"/>
                <w:szCs w:val="1"/>
                <w:color w:val="auto"/>
              </w:rPr>
            </w:pPr>
          </w:p>
        </w:tc>
      </w:tr>
      <w:tr>
        <w:trPr>
          <w:trHeight w:val="213"/>
        </w:trPr>
        <w:tc>
          <w:tcPr>
            <w:tcW w:w="75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assets</w:t>
            </w:r>
          </w:p>
        </w:tc>
        <w:tc>
          <w:tcPr>
            <w:tcW w:w="10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35"/>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379,631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318,825</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4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1,285</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expenses</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3,984</w:t>
            </w:r>
          </w:p>
        </w:tc>
        <w:tc>
          <w:tcPr>
            <w:tcW w:w="0" w:type="dxa"/>
            <w:vAlign w:val="bottom"/>
          </w:tcPr>
          <w:p>
            <w:pPr>
              <w:spacing w:after="0"/>
              <w:rPr>
                <w:sz w:val="1"/>
                <w:szCs w:val="1"/>
                <w:color w:val="auto"/>
              </w:rPr>
            </w:pP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Current portion of debt</w:t>
            </w: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3,750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3,125</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Third-party claims administration liability</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3,050</w:t>
            </w:r>
          </w:p>
        </w:tc>
        <w:tc>
          <w:tcPr>
            <w:tcW w:w="0" w:type="dxa"/>
            <w:vAlign w:val="bottom"/>
          </w:tcPr>
          <w:p>
            <w:pPr>
              <w:spacing w:after="0"/>
              <w:rPr>
                <w:sz w:val="1"/>
                <w:szCs w:val="1"/>
                <w:color w:val="auto"/>
              </w:rPr>
            </w:pPr>
          </w:p>
        </w:tc>
      </w:tr>
      <w:tr>
        <w:trPr>
          <w:trHeight w:val="213"/>
        </w:trPr>
        <w:tc>
          <w:tcPr>
            <w:tcW w:w="75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liabilities</w:t>
            </w:r>
          </w:p>
        </w:tc>
        <w:tc>
          <w:tcPr>
            <w:tcW w:w="10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Total current liabilities</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15,107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12,065</w:t>
            </w:r>
          </w:p>
        </w:tc>
        <w:tc>
          <w:tcPr>
            <w:tcW w:w="0" w:type="dxa"/>
            <w:vAlign w:val="bottom"/>
          </w:tcPr>
          <w:p>
            <w:pPr>
              <w:spacing w:after="0"/>
              <w:rPr>
                <w:sz w:val="1"/>
                <w:szCs w:val="1"/>
                <w:color w:val="auto"/>
              </w:rPr>
            </w:pP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Long-term debt, net of deferred financing costs</w:t>
            </w: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143,683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143,135</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liabilities</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4,643</w:t>
            </w:r>
          </w:p>
        </w:tc>
        <w:tc>
          <w:tcPr>
            <w:tcW w:w="0" w:type="dxa"/>
            <w:vAlign w:val="bottom"/>
          </w:tcPr>
          <w:p>
            <w:pPr>
              <w:spacing w:after="0"/>
              <w:rPr>
                <w:sz w:val="1"/>
                <w:szCs w:val="1"/>
                <w:color w:val="auto"/>
              </w:rPr>
            </w:pPr>
          </w:p>
        </w:tc>
      </w:tr>
      <w:tr>
        <w:trPr>
          <w:trHeight w:val="213"/>
        </w:trPr>
        <w:tc>
          <w:tcPr>
            <w:tcW w:w="75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liabilities</w:t>
            </w:r>
          </w:p>
        </w:tc>
        <w:tc>
          <w:tcPr>
            <w:tcW w:w="10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166,807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159,843</w:t>
            </w: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Preferred stock, $0.01 par value; 10,000,000 shares authorized, none issued and outstanding</w:t>
            </w: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1"/>
              </w:rPr>
              <w:t>Common stock, $0.01 par value; 550,000,000 shares authorized, 128,198,185 shares issued and 123,646,059</w:t>
            </w: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8"/>
              </w:rPr>
              <w:t>shares outstanding as of December 31, 2022 and 128,198,185 shares issued and 126,212,876 shares</w:t>
            </w:r>
          </w:p>
        </w:tc>
        <w:tc>
          <w:tcPr>
            <w:tcW w:w="10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outstanding as of December 31, 2021</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0" w:type="dxa"/>
            <w:vAlign w:val="bottom"/>
          </w:tcPr>
          <w:p>
            <w:pPr>
              <w:spacing w:after="0"/>
              <w:rPr>
                <w:sz w:val="1"/>
                <w:szCs w:val="1"/>
                <w:color w:val="auto"/>
              </w:rPr>
            </w:pP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499,625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496,983</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deficit</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(215,819)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(282,439)</w:t>
            </w:r>
          </w:p>
        </w:tc>
        <w:tc>
          <w:tcPr>
            <w:tcW w:w="0" w:type="dxa"/>
            <w:vAlign w:val="bottom"/>
          </w:tcPr>
          <w:p>
            <w:pPr>
              <w:spacing w:after="0"/>
              <w:rPr>
                <w:sz w:val="1"/>
                <w:szCs w:val="1"/>
                <w:color w:val="auto"/>
              </w:rPr>
            </w:pPr>
          </w:p>
        </w:tc>
      </w:tr>
      <w:tr>
        <w:trPr>
          <w:trHeight w:val="166"/>
        </w:trPr>
        <w:tc>
          <w:tcPr>
            <w:tcW w:w="7540" w:type="dxa"/>
            <w:vAlign w:val="bottom"/>
          </w:tcPr>
          <w:p>
            <w:pPr>
              <w:ind w:left="360"/>
              <w:spacing w:after="0" w:line="166" w:lineRule="exact"/>
              <w:rPr>
                <w:sz w:val="20"/>
                <w:szCs w:val="20"/>
                <w:color w:val="auto"/>
              </w:rPr>
            </w:pPr>
            <w:r>
              <w:rPr>
                <w:rFonts w:ascii="Arial" w:cs="Arial" w:eastAsia="Arial" w:hAnsi="Arial"/>
                <w:sz w:val="16"/>
                <w:szCs w:val="16"/>
                <w:color w:val="auto"/>
                <w:w w:val="91"/>
              </w:rPr>
              <w:t>Treasury stock at cost, 4,552,126 shares as of December 31, 2022, and 1,985,309 shares as of December 31,</w:t>
            </w:r>
          </w:p>
        </w:tc>
        <w:tc>
          <w:tcPr>
            <w:tcW w:w="10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(72,264)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(56,844)</w:t>
            </w:r>
          </w:p>
        </w:tc>
        <w:tc>
          <w:tcPr>
            <w:tcW w:w="0" w:type="dxa"/>
            <w:vAlign w:val="bottom"/>
          </w:tcPr>
          <w:p>
            <w:pPr>
              <w:spacing w:after="0"/>
              <w:rPr>
                <w:sz w:val="1"/>
                <w:szCs w:val="1"/>
                <w:color w:val="auto"/>
              </w:rPr>
            </w:pPr>
          </w:p>
        </w:tc>
      </w:tr>
      <w:tr>
        <w:trPr>
          <w:trHeight w:val="209"/>
        </w:trPr>
        <w:tc>
          <w:tcPr>
            <w:tcW w:w="75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2021</w:t>
            </w:r>
          </w:p>
        </w:tc>
        <w:tc>
          <w:tcPr>
            <w:tcW w:w="10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10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212,824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158,982</w:t>
            </w:r>
          </w:p>
        </w:tc>
        <w:tc>
          <w:tcPr>
            <w:tcW w:w="0" w:type="dxa"/>
            <w:vAlign w:val="bottom"/>
          </w:tcPr>
          <w:p>
            <w:pPr>
              <w:spacing w:after="0"/>
              <w:rPr>
                <w:sz w:val="1"/>
                <w:szCs w:val="1"/>
                <w:color w:val="auto"/>
              </w:rPr>
            </w:pPr>
          </w:p>
        </w:tc>
      </w:tr>
      <w:tr>
        <w:trPr>
          <w:trHeight w:val="207"/>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379,631</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318,825</w:t>
            </w:r>
          </w:p>
        </w:tc>
        <w:tc>
          <w:tcPr>
            <w:tcW w:w="0" w:type="dxa"/>
            <w:vAlign w:val="bottom"/>
          </w:tcPr>
          <w:p>
            <w:pPr>
              <w:spacing w:after="0"/>
              <w:rPr>
                <w:sz w:val="1"/>
                <w:szCs w:val="1"/>
                <w:color w:val="auto"/>
              </w:rPr>
            </w:pPr>
          </w:p>
        </w:tc>
      </w:tr>
      <w:tr>
        <w:trPr>
          <w:trHeight w:val="23"/>
        </w:trPr>
        <w:tc>
          <w:tcPr>
            <w:tcW w:w="75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270"/>
              <w:spacing w:after="0"/>
              <w:rPr>
                <w:sz w:val="20"/>
                <w:szCs w:val="20"/>
                <w:color w:val="auto"/>
              </w:rPr>
            </w:pPr>
            <w:r>
              <w:rPr>
                <w:rFonts w:ascii="Arial" w:cs="Arial" w:eastAsia="Arial" w:hAnsi="Arial"/>
                <w:sz w:val="18"/>
                <w:szCs w:val="18"/>
                <w:b w:val="1"/>
                <w:bCs w:val="1"/>
                <w:color w:val="auto"/>
                <w:w w:val="89"/>
              </w:rPr>
              <w:t>Year Ended December 31,</w:t>
            </w: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360"/>
              <w:spacing w:after="0"/>
              <w:rPr>
                <w:sz w:val="20"/>
                <w:szCs w:val="20"/>
                <w:color w:val="auto"/>
              </w:rPr>
            </w:pPr>
            <w:r>
              <w:rPr>
                <w:rFonts w:ascii="Arial" w:cs="Arial" w:eastAsia="Arial" w:hAnsi="Arial"/>
                <w:sz w:val="18"/>
                <w:szCs w:val="18"/>
                <w:color w:val="auto"/>
              </w:rPr>
              <w:t>Profit share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90,056</w:t>
            </w:r>
          </w:p>
        </w:tc>
        <w:tc>
          <w:tcPr>
            <w:tcW w:w="54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133,215</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60,392</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Program fees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80,611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43,995</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Claims administration and other service fees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8,927</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179,594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215,655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108,892</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services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19,968</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9,786</w:t>
            </w:r>
          </w:p>
        </w:tc>
        <w:tc>
          <w:tcPr>
            <w:tcW w:w="0" w:type="dxa"/>
            <w:vAlign w:val="bottom"/>
          </w:tcPr>
          <w:p>
            <w:pPr>
              <w:spacing w:after="0"/>
              <w:rPr>
                <w:sz w:val="1"/>
                <w:szCs w:val="1"/>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159,626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197,034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99,106</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32,584</w:t>
            </w:r>
          </w:p>
        </w:tc>
        <w:tc>
          <w:tcPr>
            <w:tcW w:w="0" w:type="dxa"/>
            <w:vAlign w:val="bottom"/>
          </w:tcPr>
          <w:p>
            <w:pPr>
              <w:spacing w:after="0"/>
              <w:rPr>
                <w:sz w:val="1"/>
                <w:szCs w:val="1"/>
                <w:color w:val="auto"/>
              </w:rPr>
            </w:pPr>
          </w:p>
        </w:tc>
      </w:tr>
      <w:tr>
        <w:trPr>
          <w:trHeight w:val="229"/>
        </w:trPr>
        <w:tc>
          <w:tcPr>
            <w:tcW w:w="5840" w:type="dxa"/>
            <w:vAlign w:val="bottom"/>
          </w:tcPr>
          <w:p>
            <w:pPr>
              <w:ind w:left="360"/>
              <w:spacing w:after="0"/>
              <w:rPr>
                <w:sz w:val="20"/>
                <w:szCs w:val="20"/>
                <w:color w:val="auto"/>
              </w:rPr>
            </w:pPr>
            <w:r>
              <w:rPr>
                <w:rFonts w:ascii="Arial" w:cs="Arial" w:eastAsia="Arial" w:hAnsi="Arial"/>
                <w:sz w:val="18"/>
                <w:szCs w:val="18"/>
                <w:color w:val="auto"/>
              </w:rPr>
              <w:t>Selling and marketing</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17,856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7,841</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Total operating expenses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62,011</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46,745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42,389</w:t>
            </w:r>
          </w:p>
        </w:tc>
        <w:tc>
          <w:tcPr>
            <w:tcW w:w="0" w:type="dxa"/>
            <w:vAlign w:val="bottom"/>
          </w:tcPr>
          <w:p>
            <w:pPr>
              <w:spacing w:after="0"/>
              <w:rPr>
                <w:sz w:val="1"/>
                <w:szCs w:val="1"/>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97,615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150,289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56,717</w:t>
            </w:r>
          </w:p>
        </w:tc>
        <w:tc>
          <w:tcPr>
            <w:tcW w:w="0" w:type="dxa"/>
            <w:vAlign w:val="bottom"/>
          </w:tcPr>
          <w:p>
            <w:pPr>
              <w:spacing w:after="0"/>
              <w:rPr>
                <w:sz w:val="1"/>
                <w:szCs w:val="1"/>
                <w:color w:val="auto"/>
              </w:rPr>
            </w:pPr>
          </w:p>
        </w:tc>
      </w:tr>
      <w:tr>
        <w:trPr>
          <w:trHeight w:val="229"/>
        </w:trPr>
        <w:tc>
          <w:tcPr>
            <w:tcW w:w="58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(5,832)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(5,859)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(11,601)</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5840" w:type="dxa"/>
            <w:vAlign w:val="bottom"/>
          </w:tcPr>
          <w:p>
            <w:pPr>
              <w:ind w:left="360"/>
              <w:spacing w:after="0"/>
              <w:rPr>
                <w:sz w:val="20"/>
                <w:szCs w:val="20"/>
                <w:color w:val="auto"/>
              </w:rPr>
            </w:pPr>
            <w:r>
              <w:rPr>
                <w:rFonts w:ascii="Arial" w:cs="Arial" w:eastAsia="Arial" w:hAnsi="Arial"/>
                <w:sz w:val="18"/>
                <w:szCs w:val="18"/>
                <w:color w:val="auto"/>
              </w:rPr>
              <w:t>Gain on extinguishment of tax receivable agreement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55,422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(131,932)</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93,540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191,168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(90,991)</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6,573</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66,620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146,082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(97,564)</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Preferred distribution to redeemable convertible Series C preferred units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(40,689)</w:t>
            </w:r>
          </w:p>
        </w:tc>
        <w:tc>
          <w:tcPr>
            <w:tcW w:w="0" w:type="dxa"/>
            <w:vAlign w:val="bottom"/>
          </w:tcPr>
          <w:p>
            <w:pPr>
              <w:spacing w:after="0"/>
              <w:rPr>
                <w:sz w:val="1"/>
                <w:szCs w:val="1"/>
                <w:color w:val="auto"/>
              </w:rPr>
            </w:pPr>
          </w:p>
        </w:tc>
      </w:tr>
      <w:tr>
        <w:trPr>
          <w:trHeight w:val="188"/>
        </w:trPr>
        <w:tc>
          <w:tcPr>
            <w:tcW w:w="5840" w:type="dxa"/>
            <w:vAlign w:val="bottom"/>
          </w:tcPr>
          <w:p>
            <w:pPr>
              <w:ind w:left="360"/>
              <w:spacing w:after="0" w:line="189" w:lineRule="exact"/>
              <w:rPr>
                <w:sz w:val="20"/>
                <w:szCs w:val="20"/>
                <w:color w:val="auto"/>
              </w:rPr>
            </w:pPr>
            <w:r>
              <w:rPr>
                <w:rFonts w:ascii="Arial" w:cs="Arial" w:eastAsia="Arial" w:hAnsi="Arial"/>
                <w:sz w:val="18"/>
                <w:szCs w:val="18"/>
                <w:color w:val="auto"/>
              </w:rPr>
              <w:t>Accretion to redemption value of redeemable convertible Series C</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360"/>
              <w:spacing w:after="0"/>
              <w:rPr>
                <w:sz w:val="20"/>
                <w:szCs w:val="20"/>
                <w:color w:val="auto"/>
              </w:rPr>
            </w:pPr>
            <w:r>
              <w:rPr>
                <w:rFonts w:ascii="Arial" w:cs="Arial" w:eastAsia="Arial" w:hAnsi="Arial"/>
                <w:sz w:val="18"/>
                <w:szCs w:val="18"/>
                <w:color w:val="auto"/>
              </w:rPr>
              <w:t>preferred units</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47,537</w:t>
            </w:r>
          </w:p>
        </w:tc>
        <w:tc>
          <w:tcPr>
            <w:tcW w:w="0" w:type="dxa"/>
            <w:vAlign w:val="bottom"/>
          </w:tcPr>
          <w:p>
            <w:pPr>
              <w:spacing w:after="0"/>
              <w:rPr>
                <w:sz w:val="1"/>
                <w:szCs w:val="1"/>
                <w:color w:val="auto"/>
              </w:rPr>
            </w:pPr>
          </w:p>
        </w:tc>
      </w:tr>
      <w:tr>
        <w:trPr>
          <w:trHeight w:val="248"/>
        </w:trPr>
        <w:tc>
          <w:tcPr>
            <w:tcW w:w="5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common stockholders</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66,620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146,082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(90,716)</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income (loss) per common share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54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5840" w:type="dxa"/>
            <w:vAlign w:val="bottom"/>
          </w:tcPr>
          <w:p>
            <w:pPr>
              <w:ind w:left="360"/>
              <w:spacing w:after="0"/>
              <w:rPr>
                <w:sz w:val="20"/>
                <w:szCs w:val="20"/>
                <w:color w:val="auto"/>
              </w:rPr>
            </w:pPr>
            <w:r>
              <w:rPr>
                <w:rFonts w:ascii="Arial" w:cs="Arial" w:eastAsia="Arial" w:hAnsi="Arial"/>
                <w:sz w:val="18"/>
                <w:szCs w:val="18"/>
                <w:color w:val="auto"/>
              </w:rPr>
              <w:t>Diluted</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0.53</w:t>
            </w:r>
          </w:p>
        </w:tc>
        <w:tc>
          <w:tcPr>
            <w:tcW w:w="54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36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126,108,329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126,354,597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82,908,772</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126,261,614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126,390,435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82,908,772</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jc w:val="center"/>
        <w:ind w:right="20"/>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Changes in Stockholders’ Equity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for number of shares and units)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240" w:type="dxa"/>
            <w:vAlign w:val="bottom"/>
            <w:gridSpan w:val="3"/>
            <w:vMerge w:val="restart"/>
          </w:tcPr>
          <w:p>
            <w:pPr>
              <w:jc w:val="center"/>
              <w:ind w:left="136"/>
              <w:spacing w:after="0"/>
              <w:rPr>
                <w:sz w:val="20"/>
                <w:szCs w:val="20"/>
                <w:color w:val="auto"/>
              </w:rPr>
            </w:pPr>
            <w:r>
              <w:rPr>
                <w:rFonts w:ascii="Arial" w:cs="Arial" w:eastAsia="Arial" w:hAnsi="Arial"/>
                <w:sz w:val="14"/>
                <w:szCs w:val="14"/>
                <w:b w:val="1"/>
                <w:bCs w:val="1"/>
                <w:color w:val="auto"/>
                <w:w w:val="92"/>
              </w:rPr>
              <w:t>Redeemable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9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24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5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Convertible Series C</w:t>
            </w:r>
          </w:p>
        </w:tc>
        <w:tc>
          <w:tcPr>
            <w:tcW w:w="152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Paid-in</w:t>
            </w:r>
          </w:p>
        </w:tc>
        <w:tc>
          <w:tcPr>
            <w:tcW w:w="960" w:type="dxa"/>
            <w:vAlign w:val="bottom"/>
            <w:gridSpan w:val="3"/>
            <w:vMerge w:val="continue"/>
          </w:tcPr>
          <w:p>
            <w:pPr>
              <w:spacing w:after="0"/>
              <w:rPr>
                <w:sz w:val="12"/>
                <w:szCs w:val="12"/>
                <w:color w:val="auto"/>
              </w:rPr>
            </w:pPr>
          </w:p>
        </w:tc>
        <w:tc>
          <w:tcPr>
            <w:tcW w:w="140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2"/>
                <w:szCs w:val="12"/>
                <w:color w:val="auto"/>
              </w:rPr>
            </w:pPr>
          </w:p>
        </w:tc>
        <w:tc>
          <w:tcPr>
            <w:tcW w:w="76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7"/>
        </w:trPr>
        <w:tc>
          <w:tcPr>
            <w:tcW w:w="2480" w:type="dxa"/>
            <w:vAlign w:val="bottom"/>
          </w:tcPr>
          <w:p>
            <w:pPr>
              <w:spacing w:after="0"/>
              <w:rPr>
                <w:sz w:val="17"/>
                <w:szCs w:val="17"/>
                <w:color w:val="auto"/>
              </w:rPr>
            </w:pPr>
          </w:p>
        </w:tc>
        <w:tc>
          <w:tcPr>
            <w:tcW w:w="1240" w:type="dxa"/>
            <w:vAlign w:val="bottom"/>
            <w:gridSpan w:val="3"/>
          </w:tcPr>
          <w:p>
            <w:pPr>
              <w:jc w:val="center"/>
              <w:ind w:left="136"/>
              <w:spacing w:after="0"/>
              <w:rPr>
                <w:sz w:val="20"/>
                <w:szCs w:val="20"/>
                <w:color w:val="auto"/>
              </w:rPr>
            </w:pPr>
            <w:r>
              <w:rPr>
                <w:rFonts w:ascii="Arial" w:cs="Arial" w:eastAsia="Arial" w:hAnsi="Arial"/>
                <w:sz w:val="14"/>
                <w:szCs w:val="14"/>
                <w:b w:val="1"/>
                <w:bCs w:val="1"/>
                <w:color w:val="auto"/>
                <w:w w:val="94"/>
              </w:rPr>
              <w:t>Preferred Units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40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82"/>
        </w:trPr>
        <w:tc>
          <w:tcPr>
            <w:tcW w:w="2480" w:type="dxa"/>
            <w:vAlign w:val="bottom"/>
          </w:tcPr>
          <w:p>
            <w:pPr>
              <w:spacing w:after="0"/>
              <w:rPr>
                <w:sz w:val="15"/>
                <w:szCs w:val="15"/>
                <w:color w:val="auto"/>
              </w:rPr>
            </w:pPr>
          </w:p>
        </w:tc>
        <w:tc>
          <w:tcPr>
            <w:tcW w:w="700" w:type="dxa"/>
            <w:vAlign w:val="bottom"/>
            <w:tcBorders>
              <w:top w:val="single" w:sz="8" w:color="auto"/>
            </w:tcBorders>
          </w:tcPr>
          <w:p>
            <w:pPr>
              <w:jc w:val="right"/>
              <w:ind w:right="136"/>
              <w:spacing w:after="0"/>
              <w:rPr>
                <w:sz w:val="20"/>
                <w:szCs w:val="20"/>
                <w:color w:val="auto"/>
              </w:rPr>
            </w:pPr>
            <w:r>
              <w:rPr>
                <w:rFonts w:ascii="Arial" w:cs="Arial" w:eastAsia="Arial" w:hAnsi="Arial"/>
                <w:sz w:val="14"/>
                <w:szCs w:val="14"/>
                <w:color w:val="auto"/>
              </w:rPr>
              <w:t>Units</w:t>
            </w: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84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color w:val="auto"/>
              </w:rPr>
              <w:t>Shares</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center"/>
              <w:ind w:right="56"/>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center"/>
              <w:ind w:right="76"/>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5"/>
                <w:szCs w:val="15"/>
                <w:color w:val="auto"/>
              </w:rPr>
            </w:pPr>
          </w:p>
        </w:tc>
        <w:tc>
          <w:tcPr>
            <w:tcW w:w="74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color w:val="auto"/>
              </w:rPr>
              <w:t>Shares</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center"/>
              <w:ind w:right="96"/>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as of December 31, 2019</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w w:val="92"/>
              </w:rPr>
              <w:t>14,278,603</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$ 304,943</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37,631,052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b w:val="1"/>
                <w:bCs w:val="1"/>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7,626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(242,781)</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(234,779)</w:t>
            </w:r>
          </w:p>
        </w:tc>
        <w:tc>
          <w:tcPr>
            <w:tcW w:w="0" w:type="dxa"/>
            <w:vAlign w:val="bottom"/>
          </w:tcPr>
          <w:p>
            <w:pPr>
              <w:spacing w:after="0"/>
              <w:rPr>
                <w:sz w:val="1"/>
                <w:szCs w:val="1"/>
                <w:color w:val="auto"/>
              </w:rPr>
            </w:pPr>
          </w:p>
        </w:tc>
      </w:tr>
      <w:tr>
        <w:trPr>
          <w:trHeight w:val="143"/>
        </w:trPr>
        <w:tc>
          <w:tcPr>
            <w:tcW w:w="2480" w:type="dxa"/>
            <w:vAlign w:val="bottom"/>
          </w:tcPr>
          <w:p>
            <w:pPr>
              <w:spacing w:after="0" w:line="143" w:lineRule="exact"/>
              <w:rPr>
                <w:sz w:val="20"/>
                <w:szCs w:val="20"/>
                <w:color w:val="auto"/>
              </w:rPr>
            </w:pPr>
            <w:r>
              <w:rPr>
                <w:rFonts w:ascii="Arial" w:cs="Arial" w:eastAsia="Arial" w:hAnsi="Arial"/>
                <w:sz w:val="14"/>
                <w:szCs w:val="14"/>
                <w:color w:val="auto"/>
              </w:rPr>
              <w:t>Fair value adjustment of redemption</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80" w:type="dxa"/>
            <w:vAlign w:val="bottom"/>
          </w:tcPr>
          <w:p>
            <w:pPr>
              <w:spacing w:after="0"/>
              <w:rPr>
                <w:sz w:val="20"/>
                <w:szCs w:val="20"/>
                <w:color w:val="auto"/>
              </w:rPr>
            </w:pPr>
            <w:r>
              <w:rPr>
                <w:rFonts w:ascii="Arial" w:cs="Arial" w:eastAsia="Arial" w:hAnsi="Arial"/>
                <w:sz w:val="14"/>
                <w:szCs w:val="14"/>
                <w:color w:val="auto"/>
              </w:rPr>
              <w:t>option</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(47,537)</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47,537</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47,537</w:t>
            </w: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 to Open Lending, LLC</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unitholders</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(135,598)</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(135,598)</w:t>
            </w:r>
          </w:p>
        </w:tc>
        <w:tc>
          <w:tcPr>
            <w:tcW w:w="0" w:type="dxa"/>
            <w:vAlign w:val="bottom"/>
          </w:tcPr>
          <w:p>
            <w:pPr>
              <w:spacing w:after="0"/>
              <w:rPr>
                <w:sz w:val="1"/>
                <w:szCs w:val="1"/>
                <w:color w:val="auto"/>
              </w:rPr>
            </w:pPr>
          </w:p>
        </w:tc>
      </w:tr>
      <w:tr>
        <w:trPr>
          <w:trHeight w:val="143"/>
        </w:trPr>
        <w:tc>
          <w:tcPr>
            <w:tcW w:w="2480" w:type="dxa"/>
            <w:vAlign w:val="bottom"/>
          </w:tcPr>
          <w:p>
            <w:pPr>
              <w:spacing w:after="0" w:line="143" w:lineRule="exact"/>
              <w:rPr>
                <w:sz w:val="20"/>
                <w:szCs w:val="20"/>
                <w:color w:val="auto"/>
              </w:rPr>
            </w:pPr>
            <w:r>
              <w:rPr>
                <w:rFonts w:ascii="Arial" w:cs="Arial" w:eastAsia="Arial" w:hAnsi="Arial"/>
                <w:sz w:val="14"/>
                <w:szCs w:val="14"/>
                <w:color w:val="auto"/>
              </w:rPr>
              <w:t>Recapitalization transaction, net of</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80" w:type="dxa"/>
            <w:vAlign w:val="bottom"/>
          </w:tcPr>
          <w:p>
            <w:pPr>
              <w:spacing w:after="0"/>
              <w:rPr>
                <w:sz w:val="20"/>
                <w:szCs w:val="20"/>
                <w:color w:val="auto"/>
              </w:rPr>
            </w:pPr>
            <w:r>
              <w:rPr>
                <w:rFonts w:ascii="Arial" w:cs="Arial" w:eastAsia="Arial" w:hAnsi="Arial"/>
                <w:sz w:val="14"/>
                <w:szCs w:val="14"/>
                <w:color w:val="auto"/>
              </w:rPr>
              <w:t>transaction costs</w:t>
            </w:r>
          </w:p>
        </w:tc>
        <w:tc>
          <w:tcPr>
            <w:tcW w:w="700" w:type="dxa"/>
            <w:vAlign w:val="bottom"/>
          </w:tcPr>
          <w:p>
            <w:pPr>
              <w:jc w:val="right"/>
              <w:spacing w:after="0"/>
              <w:rPr>
                <w:sz w:val="20"/>
                <w:szCs w:val="20"/>
                <w:color w:val="auto"/>
              </w:rPr>
            </w:pPr>
            <w:r>
              <w:rPr>
                <w:rFonts w:ascii="Arial" w:cs="Arial" w:eastAsia="Arial" w:hAnsi="Arial"/>
                <w:sz w:val="13"/>
                <w:szCs w:val="13"/>
                <w:color w:val="auto"/>
                <w:w w:val="86"/>
              </w:rPr>
              <w:t>(14,278,603)</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(257,406)</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54,218,857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242,001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242,543</w:t>
            </w:r>
          </w:p>
        </w:tc>
        <w:tc>
          <w:tcPr>
            <w:tcW w:w="0" w:type="dxa"/>
            <w:vAlign w:val="bottom"/>
          </w:tcPr>
          <w:p>
            <w:pPr>
              <w:spacing w:after="0"/>
              <w:rPr>
                <w:sz w:val="1"/>
                <w:szCs w:val="1"/>
                <w:color w:val="auto"/>
              </w:rPr>
            </w:pPr>
          </w:p>
        </w:tc>
      </w:tr>
      <w:tr>
        <w:trPr>
          <w:trHeight w:val="209"/>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Change in deferred tax asset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1,874</w:t>
            </w:r>
          </w:p>
        </w:tc>
        <w:tc>
          <w:tcPr>
            <w:tcW w:w="0" w:type="dxa"/>
            <w:vAlign w:val="bottom"/>
          </w:tcPr>
          <w:p>
            <w:pPr>
              <w:spacing w:after="0"/>
              <w:rPr>
                <w:sz w:val="1"/>
                <w:szCs w:val="1"/>
                <w:color w:val="auto"/>
              </w:rPr>
            </w:pPr>
          </w:p>
        </w:tc>
      </w:tr>
      <w:tr>
        <w:trPr>
          <w:trHeight w:val="143"/>
        </w:trPr>
        <w:tc>
          <w:tcPr>
            <w:tcW w:w="2480" w:type="dxa"/>
            <w:vAlign w:val="bottom"/>
          </w:tcPr>
          <w:p>
            <w:pPr>
              <w:spacing w:after="0" w:line="143" w:lineRule="exact"/>
              <w:rPr>
                <w:sz w:val="20"/>
                <w:szCs w:val="20"/>
                <w:color w:val="auto"/>
              </w:rPr>
            </w:pPr>
            <w:r>
              <w:rPr>
                <w:rFonts w:ascii="Arial" w:cs="Arial" w:eastAsia="Arial" w:hAnsi="Arial"/>
                <w:sz w:val="14"/>
                <w:szCs w:val="14"/>
                <w:color w:val="auto"/>
                <w:w w:val="97"/>
              </w:rPr>
              <w:t>Fair value of contingent consideration as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80" w:type="dxa"/>
            <w:vAlign w:val="bottom"/>
          </w:tcPr>
          <w:p>
            <w:pPr>
              <w:spacing w:after="0"/>
              <w:rPr>
                <w:sz w:val="20"/>
                <w:szCs w:val="20"/>
                <w:color w:val="auto"/>
              </w:rPr>
            </w:pPr>
            <w:r>
              <w:rPr>
                <w:rFonts w:ascii="Arial" w:cs="Arial" w:eastAsia="Arial" w:hAnsi="Arial"/>
                <w:sz w:val="14"/>
                <w:szCs w:val="14"/>
                <w:color w:val="auto"/>
              </w:rPr>
              <w:t>of the Closing Date</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(347,089)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(347,089)</w:t>
            </w:r>
          </w:p>
        </w:tc>
        <w:tc>
          <w:tcPr>
            <w:tcW w:w="0" w:type="dxa"/>
            <w:vAlign w:val="bottom"/>
          </w:tcPr>
          <w:p>
            <w:pPr>
              <w:spacing w:after="0"/>
              <w:rPr>
                <w:sz w:val="1"/>
                <w:szCs w:val="1"/>
                <w:color w:val="auto"/>
              </w:rPr>
            </w:pPr>
          </w:p>
        </w:tc>
      </w:tr>
      <w:tr>
        <w:trPr>
          <w:trHeight w:val="209"/>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2,828</w:t>
            </w:r>
          </w:p>
        </w:tc>
        <w:tc>
          <w:tcPr>
            <w:tcW w:w="0" w:type="dxa"/>
            <w:vAlign w:val="bottom"/>
          </w:tcPr>
          <w:p>
            <w:pPr>
              <w:spacing w:after="0"/>
              <w:rPr>
                <w:sz w:val="1"/>
                <w:szCs w:val="1"/>
                <w:color w:val="auto"/>
              </w:rPr>
            </w:pPr>
          </w:p>
        </w:tc>
      </w:tr>
      <w:tr>
        <w:trPr>
          <w:trHeight w:val="194"/>
        </w:trPr>
        <w:tc>
          <w:tcPr>
            <w:tcW w:w="2480" w:type="dxa"/>
            <w:vAlign w:val="bottom"/>
          </w:tcPr>
          <w:p>
            <w:pPr>
              <w:spacing w:after="0"/>
              <w:rPr>
                <w:sz w:val="20"/>
                <w:szCs w:val="20"/>
                <w:color w:val="auto"/>
              </w:rPr>
            </w:pPr>
            <w:r>
              <w:rPr>
                <w:rFonts w:ascii="Arial" w:cs="Arial" w:eastAsia="Arial" w:hAnsi="Arial"/>
                <w:sz w:val="14"/>
                <w:szCs w:val="14"/>
                <w:color w:val="auto"/>
              </w:rPr>
              <w:t>Exercise of public warrants</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9,160,776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105,257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105,349</w:t>
            </w:r>
          </w:p>
        </w:tc>
        <w:tc>
          <w:tcPr>
            <w:tcW w:w="0" w:type="dxa"/>
            <w:vAlign w:val="bottom"/>
          </w:tcPr>
          <w:p>
            <w:pPr>
              <w:spacing w:after="0"/>
              <w:rPr>
                <w:sz w:val="1"/>
                <w:szCs w:val="1"/>
                <w:color w:val="auto"/>
              </w:rPr>
            </w:pPr>
          </w:p>
        </w:tc>
      </w:tr>
      <w:tr>
        <w:trPr>
          <w:trHeight w:val="211"/>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Issuance of Earn-out Shares</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23,750,000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419,606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419,844</w:t>
            </w:r>
          </w:p>
        </w:tc>
        <w:tc>
          <w:tcPr>
            <w:tcW w:w="0" w:type="dxa"/>
            <w:vAlign w:val="bottom"/>
          </w:tcPr>
          <w:p>
            <w:pPr>
              <w:spacing w:after="0"/>
              <w:rPr>
                <w:sz w:val="1"/>
                <w:szCs w:val="1"/>
                <w:color w:val="auto"/>
              </w:rPr>
            </w:pPr>
          </w:p>
        </w:tc>
      </w:tr>
      <w:tr>
        <w:trPr>
          <w:trHeight w:val="194"/>
        </w:trPr>
        <w:tc>
          <w:tcPr>
            <w:tcW w:w="2480" w:type="dxa"/>
            <w:vAlign w:val="bottom"/>
          </w:tcPr>
          <w:p>
            <w:pPr>
              <w:spacing w:after="0"/>
              <w:rPr>
                <w:sz w:val="20"/>
                <w:szCs w:val="20"/>
                <w:color w:val="auto"/>
              </w:rPr>
            </w:pPr>
            <w:r>
              <w:rPr>
                <w:rFonts w:ascii="Arial" w:cs="Arial" w:eastAsia="Arial" w:hAnsi="Arial"/>
                <w:sz w:val="14"/>
                <w:szCs w:val="14"/>
                <w:color w:val="auto"/>
              </w:rPr>
              <w:t>Release of Lock-up Shares</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3,437,500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59,143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59,177</w:t>
            </w:r>
          </w:p>
        </w:tc>
        <w:tc>
          <w:tcPr>
            <w:tcW w:w="0" w:type="dxa"/>
            <w:vAlign w:val="bottom"/>
          </w:tcPr>
          <w:p>
            <w:pPr>
              <w:spacing w:after="0"/>
              <w:rPr>
                <w:sz w:val="1"/>
                <w:szCs w:val="1"/>
                <w:color w:val="auto"/>
              </w:rPr>
            </w:pPr>
          </w:p>
        </w:tc>
      </w:tr>
      <w:tr>
        <w:trPr>
          <w:trHeight w:val="211"/>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Shares repurchased</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(1,395,089)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(37,500)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(37,500)</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loss</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(97,564)</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(97,564)</w:t>
            </w: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as of December 31, 2020</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54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b w:val="1"/>
                <w:bCs w:val="1"/>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4"/>
              </w:rPr>
              <w:t>128,198,185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b w:val="1"/>
                <w:bCs w:val="1"/>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1,282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491,246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(428,406)</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0"/>
              </w:rPr>
              <w:t>(1,395,089)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6"/>
              </w:rPr>
              <w:t>(37,500)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26,622</w:t>
            </w:r>
          </w:p>
        </w:tc>
        <w:tc>
          <w:tcPr>
            <w:tcW w:w="0" w:type="dxa"/>
            <w:vAlign w:val="bottom"/>
          </w:tcPr>
          <w:p>
            <w:pPr>
              <w:spacing w:after="0"/>
              <w:rPr>
                <w:sz w:val="1"/>
                <w:szCs w:val="1"/>
                <w:color w:val="auto"/>
              </w:rPr>
            </w:pPr>
          </w:p>
        </w:tc>
      </w:tr>
      <w:tr>
        <w:trPr>
          <w:trHeight w:val="194"/>
        </w:trPr>
        <w:tc>
          <w:tcPr>
            <w:tcW w:w="2480" w:type="dxa"/>
            <w:vAlign w:val="bottom"/>
          </w:tcPr>
          <w:p>
            <w:pPr>
              <w:spacing w:after="0"/>
              <w:rPr>
                <w:sz w:val="20"/>
                <w:szCs w:val="20"/>
                <w:color w:val="auto"/>
              </w:rPr>
            </w:pPr>
            <w:r>
              <w:rPr>
                <w:rFonts w:ascii="Arial" w:cs="Arial" w:eastAsia="Arial" w:hAnsi="Arial"/>
                <w:sz w:val="14"/>
                <w:szCs w:val="14"/>
                <w:color w:val="auto"/>
              </w:rPr>
              <w:t>ASC 326 transition adjustment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(115)</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211"/>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Change in deferred tax asset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2,836</w:t>
            </w:r>
          </w:p>
        </w:tc>
        <w:tc>
          <w:tcPr>
            <w:tcW w:w="0" w:type="dxa"/>
            <w:vAlign w:val="bottom"/>
          </w:tcPr>
          <w:p>
            <w:pPr>
              <w:spacing w:after="0"/>
              <w:rPr>
                <w:sz w:val="1"/>
                <w:szCs w:val="1"/>
                <w:color w:val="auto"/>
              </w:rPr>
            </w:pPr>
          </w:p>
        </w:tc>
      </w:tr>
      <w:tr>
        <w:trPr>
          <w:trHeight w:val="194"/>
        </w:trPr>
        <w:tc>
          <w:tcPr>
            <w:tcW w:w="248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3,815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3,815</w:t>
            </w:r>
          </w:p>
        </w:tc>
        <w:tc>
          <w:tcPr>
            <w:tcW w:w="0" w:type="dxa"/>
            <w:vAlign w:val="bottom"/>
          </w:tcPr>
          <w:p>
            <w:pPr>
              <w:spacing w:after="0"/>
              <w:rPr>
                <w:sz w:val="1"/>
                <w:szCs w:val="1"/>
                <w:color w:val="auto"/>
              </w:rPr>
            </w:pPr>
          </w:p>
        </w:tc>
      </w:tr>
      <w:tr>
        <w:trPr>
          <w:trHeight w:val="211"/>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Shares repurchased</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(612,745)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(20,000)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w:t>
            </w:r>
          </w:p>
        </w:tc>
        <w:tc>
          <w:tcPr>
            <w:tcW w:w="0" w:type="dxa"/>
            <w:vAlign w:val="bottom"/>
          </w:tcPr>
          <w:p>
            <w:pPr>
              <w:spacing w:after="0"/>
              <w:rPr>
                <w:sz w:val="1"/>
                <w:szCs w:val="1"/>
                <w:color w:val="auto"/>
              </w:rPr>
            </w:pPr>
          </w:p>
        </w:tc>
      </w:tr>
      <w:tr>
        <w:trPr>
          <w:trHeight w:val="143"/>
        </w:trPr>
        <w:tc>
          <w:tcPr>
            <w:tcW w:w="2480" w:type="dxa"/>
            <w:vAlign w:val="bottom"/>
          </w:tcPr>
          <w:p>
            <w:pPr>
              <w:spacing w:after="0" w:line="143" w:lineRule="exact"/>
              <w:rPr>
                <w:sz w:val="20"/>
                <w:szCs w:val="20"/>
                <w:color w:val="auto"/>
              </w:rPr>
            </w:pPr>
            <w:r>
              <w:rPr>
                <w:rFonts w:ascii="Arial" w:cs="Arial" w:eastAsia="Arial" w:hAnsi="Arial"/>
                <w:sz w:val="14"/>
                <w:szCs w:val="14"/>
                <w:color w:val="auto"/>
              </w:rPr>
              <w:t>Restricted stock units issued, net of</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80" w:type="dxa"/>
            <w:vAlign w:val="bottom"/>
          </w:tcPr>
          <w:p>
            <w:pPr>
              <w:spacing w:after="0"/>
              <w:rPr>
                <w:sz w:val="20"/>
                <w:szCs w:val="20"/>
                <w:color w:val="auto"/>
              </w:rPr>
            </w:pPr>
            <w:r>
              <w:rPr>
                <w:rFonts w:ascii="Arial" w:cs="Arial" w:eastAsia="Arial" w:hAnsi="Arial"/>
                <w:sz w:val="14"/>
                <w:szCs w:val="14"/>
                <w:color w:val="auto"/>
              </w:rPr>
              <w:t>shares withheld for taxes</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22,525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(258)</w:t>
            </w:r>
          </w:p>
        </w:tc>
        <w:tc>
          <w:tcPr>
            <w:tcW w:w="0" w:type="dxa"/>
            <w:vAlign w:val="bottom"/>
          </w:tcPr>
          <w:p>
            <w:pPr>
              <w:spacing w:after="0"/>
              <w:rPr>
                <w:sz w:val="1"/>
                <w:szCs w:val="1"/>
                <w:color w:val="auto"/>
              </w:rPr>
            </w:pPr>
          </w:p>
        </w:tc>
      </w:tr>
      <w:tr>
        <w:trPr>
          <w:trHeight w:val="208"/>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146,082</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146,082</w:t>
            </w:r>
          </w:p>
        </w:tc>
        <w:tc>
          <w:tcPr>
            <w:tcW w:w="0" w:type="dxa"/>
            <w:vAlign w:val="bottom"/>
          </w:tcPr>
          <w:p>
            <w:pPr>
              <w:spacing w:after="0"/>
              <w:rPr>
                <w:sz w:val="1"/>
                <w:szCs w:val="1"/>
                <w:color w:val="auto"/>
              </w:rPr>
            </w:pPr>
          </w:p>
        </w:tc>
      </w:tr>
      <w:tr>
        <w:trPr>
          <w:trHeight w:val="175"/>
        </w:trPr>
        <w:tc>
          <w:tcPr>
            <w:tcW w:w="2480" w:type="dxa"/>
            <w:vAlign w:val="bottom"/>
          </w:tcPr>
          <w:p>
            <w:pPr>
              <w:spacing w:after="0"/>
              <w:rPr>
                <w:sz w:val="20"/>
                <w:szCs w:val="20"/>
                <w:color w:val="auto"/>
              </w:rPr>
            </w:pPr>
            <w:r>
              <w:rPr>
                <w:rFonts w:ascii="Arial" w:cs="Arial" w:eastAsia="Arial" w:hAnsi="Arial"/>
                <w:sz w:val="14"/>
                <w:szCs w:val="14"/>
                <w:b w:val="1"/>
                <w:bCs w:val="1"/>
                <w:color w:val="auto"/>
              </w:rPr>
              <w:t>Balance as of December 31, 2021</w:t>
            </w:r>
          </w:p>
        </w:tc>
        <w:tc>
          <w:tcPr>
            <w:tcW w:w="700" w:type="dxa"/>
            <w:vAlign w:val="bottom"/>
          </w:tcPr>
          <w:p>
            <w:pPr>
              <w:jc w:val="right"/>
              <w:ind w:right="16"/>
              <w:spacing w:after="0"/>
              <w:rPr>
                <w:sz w:val="20"/>
                <w:szCs w:val="20"/>
                <w:color w:val="auto"/>
              </w:rPr>
            </w:pPr>
            <w:r>
              <w:rPr>
                <w:rFonts w:ascii="Arial" w:cs="Arial" w:eastAsia="Arial" w:hAnsi="Arial"/>
                <w:sz w:val="13"/>
                <w:szCs w:val="13"/>
                <w:b w:val="1"/>
                <w:bCs w:val="1"/>
                <w:color w:val="auto"/>
              </w:rPr>
              <w:t>—</w:t>
            </w:r>
          </w:p>
        </w:tc>
        <w:tc>
          <w:tcPr>
            <w:tcW w:w="540" w:type="dxa"/>
            <w:vAlign w:val="bottom"/>
            <w:gridSpan w:val="2"/>
          </w:tcPr>
          <w:p>
            <w:pPr>
              <w:jc w:val="right"/>
              <w:ind w:right="213"/>
              <w:spacing w:after="0"/>
              <w:rPr>
                <w:sz w:val="20"/>
                <w:szCs w:val="20"/>
                <w:color w:val="auto"/>
              </w:rPr>
            </w:pPr>
            <w:r>
              <w:rPr>
                <w:rFonts w:ascii="Arial" w:cs="Arial" w:eastAsia="Arial" w:hAnsi="Arial"/>
                <w:sz w:val="13"/>
                <w:szCs w:val="13"/>
                <w:b w:val="1"/>
                <w:bCs w:val="1"/>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w w:val="94"/>
              </w:rPr>
              <w:t>128,198,185</w:t>
            </w:r>
          </w:p>
        </w:tc>
        <w:tc>
          <w:tcPr>
            <w:tcW w:w="8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b w:val="1"/>
                <w:bCs w:val="1"/>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1,282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496,983</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(282,439)</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w w:val="90"/>
              </w:rPr>
              <w:t>(1,985,309)</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86"/>
              </w:rPr>
              <w:t>(56,844)</w:t>
            </w:r>
          </w:p>
        </w:tc>
        <w:tc>
          <w:tcPr>
            <w:tcW w:w="8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158,982</w:t>
            </w: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5,449</w:t>
            </w:r>
          </w:p>
        </w:tc>
        <w:tc>
          <w:tcPr>
            <w:tcW w:w="0" w:type="dxa"/>
            <w:vAlign w:val="bottom"/>
          </w:tcPr>
          <w:p>
            <w:pPr>
              <w:spacing w:after="0"/>
              <w:rPr>
                <w:sz w:val="1"/>
                <w:szCs w:val="1"/>
                <w:color w:val="auto"/>
              </w:rPr>
            </w:pPr>
          </w:p>
        </w:tc>
      </w:tr>
      <w:tr>
        <w:trPr>
          <w:trHeight w:val="195"/>
        </w:trPr>
        <w:tc>
          <w:tcPr>
            <w:tcW w:w="2480" w:type="dxa"/>
            <w:vAlign w:val="bottom"/>
          </w:tcPr>
          <w:p>
            <w:pPr>
              <w:spacing w:after="0"/>
              <w:rPr>
                <w:sz w:val="20"/>
                <w:szCs w:val="20"/>
                <w:color w:val="auto"/>
              </w:rPr>
            </w:pPr>
            <w:r>
              <w:rPr>
                <w:rFonts w:ascii="Arial" w:cs="Arial" w:eastAsia="Arial" w:hAnsi="Arial"/>
                <w:sz w:val="14"/>
                <w:szCs w:val="14"/>
                <w:color w:val="auto"/>
              </w:rPr>
              <w:t>Shares repurchased</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0"/>
              </w:rPr>
              <w:t>(2,643,306)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86"/>
              </w:rPr>
              <w:t>(18,018)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(18,018)</w:t>
            </w:r>
          </w:p>
        </w:tc>
        <w:tc>
          <w:tcPr>
            <w:tcW w:w="0" w:type="dxa"/>
            <w:vAlign w:val="bottom"/>
          </w:tcPr>
          <w:p>
            <w:pPr>
              <w:spacing w:after="0"/>
              <w:rPr>
                <w:sz w:val="1"/>
                <w:szCs w:val="1"/>
                <w:color w:val="auto"/>
              </w:rPr>
            </w:pPr>
          </w:p>
        </w:tc>
      </w:tr>
      <w:tr>
        <w:trPr>
          <w:trHeight w:val="151"/>
        </w:trPr>
        <w:tc>
          <w:tcPr>
            <w:tcW w:w="248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Restricted stock units issued, net of</w:t>
            </w: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shares withheld for taxes</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76,489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(209)</w:t>
            </w:r>
          </w:p>
        </w:tc>
        <w:tc>
          <w:tcPr>
            <w:tcW w:w="0" w:type="dxa"/>
            <w:vAlign w:val="bottom"/>
          </w:tcPr>
          <w:p>
            <w:pPr>
              <w:spacing w:after="0"/>
              <w:rPr>
                <w:sz w:val="1"/>
                <w:szCs w:val="1"/>
                <w:color w:val="auto"/>
              </w:rPr>
            </w:pPr>
          </w:p>
        </w:tc>
      </w:tr>
      <w:tr>
        <w:trPr>
          <w:trHeight w:val="196"/>
        </w:trPr>
        <w:tc>
          <w:tcPr>
            <w:tcW w:w="2480" w:type="dxa"/>
            <w:vAlign w:val="bottom"/>
          </w:tcPr>
          <w:p>
            <w:pPr>
              <w:spacing w:after="0"/>
              <w:rPr>
                <w:sz w:val="20"/>
                <w:szCs w:val="20"/>
                <w:color w:val="auto"/>
              </w:rPr>
            </w:pPr>
            <w:r>
              <w:rPr>
                <w:rFonts w:ascii="Arial" w:cs="Arial" w:eastAsia="Arial" w:hAnsi="Arial"/>
                <w:sz w:val="14"/>
                <w:szCs w:val="14"/>
                <w:color w:val="auto"/>
              </w:rPr>
              <w:t>Net income</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66,620</w:t>
            </w: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66,620</w:t>
            </w:r>
          </w:p>
        </w:tc>
        <w:tc>
          <w:tcPr>
            <w:tcW w:w="0" w:type="dxa"/>
            <w:vAlign w:val="bottom"/>
          </w:tcPr>
          <w:p>
            <w:pPr>
              <w:spacing w:after="0"/>
              <w:rPr>
                <w:sz w:val="1"/>
                <w:szCs w:val="1"/>
                <w:color w:val="auto"/>
              </w:rPr>
            </w:pPr>
          </w:p>
        </w:tc>
      </w:tr>
      <w:tr>
        <w:trPr>
          <w:trHeight w:val="201"/>
        </w:trPr>
        <w:tc>
          <w:tcPr>
            <w:tcW w:w="2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December 31, 2022</w:t>
            </w:r>
          </w:p>
        </w:tc>
        <w:tc>
          <w:tcPr>
            <w:tcW w:w="7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b w:val="1"/>
                <w:bCs w:val="1"/>
                <w:color w:val="auto"/>
                <w:w w:val="82"/>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4"/>
              </w:rPr>
              <w:t>128,198,185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b w:val="1"/>
                <w:bCs w:val="1"/>
                <w:color w:val="auto"/>
                <w:w w:val="82"/>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499,625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(215,819)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0"/>
              </w:rPr>
              <w:t>(4,552,126)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6"/>
              </w:rPr>
              <w:t>(72,264)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212,824</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20"/>
          </w:cols>
          <w:pgMar w:left="1140" w:top="769" w:right="11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9"/>
        </w:trPr>
        <w:tc>
          <w:tcPr>
            <w:tcW w:w="7060" w:type="dxa"/>
            <w:vAlign w:val="bottom"/>
          </w:tcPr>
          <w:p>
            <w:pPr>
              <w:jc w:val="center"/>
              <w:ind w:left="4119"/>
              <w:spacing w:after="0"/>
              <w:rPr>
                <w:sz w:val="20"/>
                <w:szCs w:val="20"/>
                <w:color w:val="auto"/>
              </w:rPr>
            </w:pPr>
            <w:r>
              <w:rPr>
                <w:rFonts w:ascii="Arial" w:cs="Arial" w:eastAsia="Arial" w:hAnsi="Arial"/>
                <w:sz w:val="16"/>
                <w:szCs w:val="16"/>
                <w:b w:val="1"/>
                <w:bCs w:val="1"/>
                <w:color w:val="auto"/>
              </w:rPr>
              <w:t>OPEN LENDING CORPORATION</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3"/>
        </w:trPr>
        <w:tc>
          <w:tcPr>
            <w:tcW w:w="7060" w:type="dxa"/>
            <w:vAlign w:val="bottom"/>
          </w:tcPr>
          <w:p>
            <w:pPr>
              <w:jc w:val="center"/>
              <w:ind w:left="4099"/>
              <w:spacing w:after="0"/>
              <w:rPr>
                <w:sz w:val="20"/>
                <w:szCs w:val="20"/>
                <w:color w:val="auto"/>
              </w:rPr>
            </w:pPr>
            <w:r>
              <w:rPr>
                <w:rFonts w:ascii="Arial" w:cs="Arial" w:eastAsia="Arial" w:hAnsi="Arial"/>
                <w:sz w:val="16"/>
                <w:szCs w:val="16"/>
                <w:b w:val="1"/>
                <w:bCs w:val="1"/>
                <w:color w:val="auto"/>
                <w:w w:val="89"/>
              </w:rPr>
              <w:t>Consolidated Statements of Cash Flows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7060" w:type="dxa"/>
            <w:vAlign w:val="bottom"/>
          </w:tcPr>
          <w:p>
            <w:pPr>
              <w:jc w:val="center"/>
              <w:ind w:left="4099"/>
              <w:spacing w:after="0"/>
              <w:rPr>
                <w:sz w:val="20"/>
                <w:szCs w:val="20"/>
                <w:color w:val="auto"/>
              </w:rPr>
            </w:pPr>
            <w:r>
              <w:rPr>
                <w:rFonts w:ascii="Arial" w:cs="Arial" w:eastAsia="Arial" w:hAnsi="Arial"/>
                <w:sz w:val="16"/>
                <w:szCs w:val="16"/>
                <w:b w:val="1"/>
                <w:bCs w:val="1"/>
                <w:color w:val="auto"/>
                <w:w w:val="90"/>
              </w:rPr>
              <w:t>(In thousands)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3"/>
        </w:trPr>
        <w:tc>
          <w:tcPr>
            <w:tcW w:w="7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10"/>
        </w:trPr>
        <w:tc>
          <w:tcPr>
            <w:tcW w:w="7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19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66,620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146,082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(97,564)</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7060" w:type="dxa"/>
            <w:vAlign w:val="bottom"/>
          </w:tcPr>
          <w:p>
            <w:pPr>
              <w:ind w:left="360"/>
              <w:spacing w:after="0"/>
              <w:rPr>
                <w:sz w:val="20"/>
                <w:szCs w:val="20"/>
                <w:color w:val="auto"/>
              </w:rPr>
            </w:pPr>
            <w:r>
              <w:rPr>
                <w:rFonts w:ascii="Arial" w:cs="Arial" w:eastAsia="Arial" w:hAnsi="Arial"/>
                <w:sz w:val="16"/>
                <w:szCs w:val="16"/>
                <w:color w:val="auto"/>
              </w:rPr>
              <w:t>Share-based compensation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2,828</w:t>
            </w:r>
          </w:p>
        </w:tc>
      </w:tr>
      <w:tr>
        <w:trPr>
          <w:trHeight w:val="219"/>
        </w:trPr>
        <w:tc>
          <w:tcPr>
            <w:tcW w:w="7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w:t>
            </w:r>
          </w:p>
        </w:tc>
      </w:tr>
      <w:tr>
        <w:trPr>
          <w:trHeight w:val="213"/>
        </w:trPr>
        <w:tc>
          <w:tcPr>
            <w:tcW w:w="7060" w:type="dxa"/>
            <w:vAlign w:val="bottom"/>
          </w:tcPr>
          <w:p>
            <w:pPr>
              <w:ind w:left="360"/>
              <w:spacing w:after="0"/>
              <w:rPr>
                <w:sz w:val="20"/>
                <w:szCs w:val="20"/>
                <w:color w:val="auto"/>
              </w:rPr>
            </w:pPr>
            <w:r>
              <w:rPr>
                <w:rFonts w:ascii="Arial" w:cs="Arial" w:eastAsia="Arial" w:hAnsi="Arial"/>
                <w:sz w:val="16"/>
                <w:szCs w:val="16"/>
                <w:color w:val="auto"/>
              </w:rPr>
              <w:t>Non-cash operating lease cost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458</w:t>
            </w:r>
          </w:p>
        </w:tc>
      </w:tr>
      <w:tr>
        <w:trPr>
          <w:trHeight w:val="219"/>
        </w:trPr>
        <w:tc>
          <w:tcPr>
            <w:tcW w:w="7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on extinguishment of tax receivable agreement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60" w:type="dxa"/>
            <w:vAlign w:val="bottom"/>
          </w:tcPr>
          <w:p>
            <w:pPr>
              <w:ind w:left="360"/>
              <w:spacing w:after="0"/>
              <w:rPr>
                <w:sz w:val="20"/>
                <w:szCs w:val="20"/>
                <w:color w:val="auto"/>
              </w:rPr>
            </w:pPr>
            <w:r>
              <w:rPr>
                <w:rFonts w:ascii="Arial" w:cs="Arial" w:eastAsia="Arial" w:hAnsi="Arial"/>
                <w:sz w:val="16"/>
                <w:szCs w:val="16"/>
                <w:color w:val="auto"/>
              </w:rPr>
              <w:t>Loss on extinguishment of debt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fair value of contingent consideration</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131,932</w:t>
            </w:r>
          </w:p>
        </w:tc>
      </w:tr>
      <w:tr>
        <w:trPr>
          <w:trHeight w:val="213"/>
        </w:trPr>
        <w:tc>
          <w:tcPr>
            <w:tcW w:w="706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20,055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4,734</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assets &amp;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706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(585)</w:t>
            </w:r>
          </w:p>
        </w:tc>
      </w:tr>
      <w:tr>
        <w:trPr>
          <w:trHeight w:val="219"/>
        </w:trPr>
        <w:tc>
          <w:tcPr>
            <w:tcW w:w="7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Contract assets,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(26,391)</w:t>
            </w:r>
          </w:p>
        </w:tc>
      </w:tr>
      <w:tr>
        <w:trPr>
          <w:trHeight w:val="213"/>
        </w:trPr>
        <w:tc>
          <w:tcPr>
            <w:tcW w:w="7060" w:type="dxa"/>
            <w:vAlign w:val="bottom"/>
          </w:tcPr>
          <w:p>
            <w:pPr>
              <w:ind w:left="360"/>
              <w:spacing w:after="0"/>
              <w:rPr>
                <w:sz w:val="20"/>
                <w:szCs w:val="20"/>
                <w:color w:val="auto"/>
              </w:rPr>
            </w:pPr>
            <w:r>
              <w:rPr>
                <w:rFonts w:ascii="Arial" w:cs="Arial" w:eastAsia="Arial" w:hAnsi="Arial"/>
                <w:sz w:val="16"/>
                <w:szCs w:val="16"/>
                <w:color w:val="auto"/>
              </w:rPr>
              <w:t>Other current and non-current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(2,292)</w:t>
            </w:r>
          </w:p>
        </w:tc>
      </w:tr>
      <w:tr>
        <w:trPr>
          <w:trHeight w:val="219"/>
        </w:trPr>
        <w:tc>
          <w:tcPr>
            <w:tcW w:w="7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2,105</w:t>
            </w:r>
          </w:p>
        </w:tc>
      </w:tr>
      <w:tr>
        <w:trPr>
          <w:trHeight w:val="213"/>
        </w:trPr>
        <w:tc>
          <w:tcPr>
            <w:tcW w:w="7060" w:type="dxa"/>
            <w:vAlign w:val="bottom"/>
          </w:tcPr>
          <w:p>
            <w:pPr>
              <w:ind w:left="360"/>
              <w:spacing w:after="0"/>
              <w:rPr>
                <w:sz w:val="20"/>
                <w:szCs w:val="20"/>
                <w:color w:val="auto"/>
              </w:rPr>
            </w:pPr>
            <w:r>
              <w:rPr>
                <w:rFonts w:ascii="Arial" w:cs="Arial" w:eastAsia="Arial" w:hAnsi="Arial"/>
                <w:sz w:val="16"/>
                <w:szCs w:val="16"/>
                <w:color w:val="auto"/>
              </w:rPr>
              <w:t>Accrued expenses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1,027</w:t>
            </w:r>
          </w:p>
        </w:tc>
      </w:tr>
      <w:tr>
        <w:trPr>
          <w:trHeight w:val="219"/>
        </w:trPr>
        <w:tc>
          <w:tcPr>
            <w:tcW w:w="7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receivable,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r>
      <w:tr>
        <w:trPr>
          <w:trHeight w:val="213"/>
        </w:trPr>
        <w:tc>
          <w:tcPr>
            <w:tcW w:w="7060" w:type="dxa"/>
            <w:vAlign w:val="bottom"/>
          </w:tcPr>
          <w:p>
            <w:pPr>
              <w:ind w:left="360"/>
              <w:spacing w:after="0"/>
              <w:rPr>
                <w:sz w:val="20"/>
                <w:szCs w:val="20"/>
                <w:color w:val="auto"/>
              </w:rPr>
            </w:pPr>
            <w:r>
              <w:rPr>
                <w:rFonts w:ascii="Arial" w:cs="Arial" w:eastAsia="Arial" w:hAnsi="Arial"/>
                <w:sz w:val="16"/>
                <w:szCs w:val="16"/>
                <w:color w:val="auto"/>
              </w:rPr>
              <w:t>Operating lease liabilities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19"/>
        </w:trPr>
        <w:tc>
          <w:tcPr>
            <w:tcW w:w="7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Third-party claims administration liability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r>
      <w:tr>
        <w:trPr>
          <w:trHeight w:val="213"/>
        </w:trPr>
        <w:tc>
          <w:tcPr>
            <w:tcW w:w="70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and non-current liabilities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5,309</w:t>
            </w:r>
          </w:p>
        </w:tc>
      </w:tr>
      <w:tr>
        <w:trPr>
          <w:trHeight w:val="213"/>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107,431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95,156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24,640</w:t>
            </w:r>
          </w:p>
        </w:tc>
      </w:tr>
      <w:tr>
        <w:trPr>
          <w:trHeight w:val="193"/>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w:t>
            </w:r>
          </w:p>
        </w:tc>
      </w:tr>
      <w:tr>
        <w:trPr>
          <w:trHeight w:val="207"/>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(1,196)</w:t>
            </w:r>
          </w:p>
        </w:tc>
      </w:tr>
      <w:tr>
        <w:trPr>
          <w:trHeight w:val="19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Proceeds from term loans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170,000</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revolving credit facility</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Payments on term loans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(123,594)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(169,191)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(6,521)</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on revolving credit facility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Payment of deferred financing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(10,061)</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repurchased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(37,500)</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Shares withheld for taxes related to restricted stock units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of tax receivable agreement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Distributions to Open Lending, LLC unitholders</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(135,598)</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exercise of public warrants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105,349</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Recapitalization transaction, net of transaction costs</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(14,863)</w:t>
            </w:r>
          </w:p>
        </w:tc>
      </w:tr>
      <w:tr>
        <w:trPr>
          <w:trHeight w:val="213"/>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(17,797)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(77,808)</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70,806</w:t>
            </w:r>
          </w:p>
        </w:tc>
      </w:tr>
      <w:tr>
        <w:trPr>
          <w:trHeight w:val="207"/>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Net change in cash and cash equivalents and restricted cash</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89,010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15,361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94,250</w:t>
            </w: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the beginning of the year</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119,509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104,148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9,898</w:t>
            </w:r>
          </w:p>
        </w:tc>
      </w:tr>
      <w:tr>
        <w:trPr>
          <w:trHeight w:val="212"/>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the end of the year</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208,519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119,509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104,148</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3,520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5,243</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10,444</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paid,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Property and equipment accrued but not paid</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 of use assets obtained in exchange for lease obligations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5,362</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Non-cash investing and financing:</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redeemable convertible Series C preferred units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(47,537)</w:t>
            </w:r>
          </w:p>
        </w:tc>
      </w:tr>
      <w:tr>
        <w:trPr>
          <w:trHeight w:val="210"/>
        </w:trPr>
        <w:tc>
          <w:tcPr>
            <w:tcW w:w="7060" w:type="dxa"/>
            <w:vAlign w:val="bottom"/>
          </w:tcPr>
          <w:p>
            <w:pPr>
              <w:ind w:left="20"/>
              <w:spacing w:after="0"/>
              <w:rPr>
                <w:sz w:val="20"/>
                <w:szCs w:val="20"/>
                <w:color w:val="auto"/>
              </w:rPr>
            </w:pPr>
            <w:r>
              <w:rPr>
                <w:rFonts w:ascii="Arial" w:cs="Arial" w:eastAsia="Arial" w:hAnsi="Arial"/>
                <w:sz w:val="16"/>
                <w:szCs w:val="16"/>
                <w:color w:val="auto"/>
              </w:rPr>
              <w:t>Conversion of preferred units to common stock</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257,406</w:t>
            </w: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Background and Nature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headquartered in Austin, Texas, provides loan analytics, risk-based loan pricing, risk modeling, and automated decision technology for automotive lenders throughout the U.S., which enables each lending institution to book near-prime and non-prime automotive loans, coupled with real-time underwriting of loan default insurance, out of their existing business flow. The Company also operates as a third-party administrator that adjudicates insurance claims and premium adjustments on automotive loans.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flagship product, LPP, is a cloud-based automotive lending platform. LPP supports loans made to near-prime and non-prime borrowers and is designed to underwrite default insurance by linking automotive lenders to insurance companies. The platform uses risk-based pricing models that enable automotive lenders to assess the credit risk of a potential borrower using data driven analysis. The Company’s proprietary risk models project loan performance, including expected losses and prepayments in arriving at the optimal rate. With five send decisioning, LPP generates a risk-based, all-inclusive interest rate for a loan that is customized to each automotive lender, reflecting cost of capital, loan servicing and acquisition costs, expected recovery rates and target return on assets.</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Nebula was originally incorporated in Delaware on October 2, 2017 as a special purpose acquisition company for the purpose of effecting a merger, capital stock exchange, asset acquisition, stock purchase, reorganization or similar business combination with one or more businesses. On June 10, 2020, the Closing Date, Nebula entered into a business combination pursuant to that certain Business Combination Agreement by and among Nebula, Open Lending, LLC, the Blocker, the Blocker’s sole stockholder, Nebula Parent Corp., NBLA Merger Sub LLC, NBLA Merger Sub Corp., and Shareholder Representative Services LLC, as the security holder representative. Refer to </w:t>
      </w:r>
      <w:r>
        <w:rPr>
          <w:rFonts w:ascii="Arial" w:cs="Arial" w:eastAsia="Arial" w:hAnsi="Arial"/>
          <w:sz w:val="17"/>
          <w:szCs w:val="17"/>
          <w:u w:val="single" w:color="auto"/>
          <w:color w:val="0000FF"/>
        </w:rPr>
        <w:t>Note 3—Business Combination</w:t>
      </w:r>
      <w:r>
        <w:rPr>
          <w:rFonts w:ascii="Arial" w:cs="Arial" w:eastAsia="Arial" w:hAnsi="Arial"/>
          <w:sz w:val="17"/>
          <w:szCs w:val="17"/>
          <w:color w:val="auto"/>
        </w:rPr>
        <w:t xml:space="preserve"> for further discussion.</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evaluated how it is organized and managed and has identified only one operating segment. All of the Company’s operations and assets are in the U.S., and all of its revenues are attributable to U.S. customers.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and Reporting Policies</w:t>
      </w:r>
    </w:p>
    <w:p>
      <w:pPr>
        <w:spacing w:after="0" w:line="121" w:lineRule="exact"/>
        <w:rPr>
          <w:sz w:val="20"/>
          <w:szCs w:val="20"/>
          <w:color w:val="auto"/>
        </w:rPr>
      </w:pPr>
    </w:p>
    <w:p>
      <w:pPr>
        <w:ind w:left="500"/>
        <w:spacing w:after="0"/>
        <w:tabs>
          <w:tab w:leader="none" w:pos="78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Basis of presentation and consolidation</w:t>
      </w:r>
    </w:p>
    <w:p>
      <w:pPr>
        <w:spacing w:after="0" w:line="117"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(“GAAP”) and include the accounts of the Company and all its subsidiaries that are directly or indirectly owned or controlled by the Company. All intercompany transactions and balances have been eliminated upon consolidation. Certain prior year amounts have been reclassified to conform to the Company’s presentation of its consolidated financial statements as of and for the year ended December 31, 2022.</w:t>
      </w:r>
    </w:p>
    <w:p>
      <w:pPr>
        <w:spacing w:after="0" w:line="63"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 xml:space="preserve">The Business Combination was accounted for as a reverse recapitalization as Open Lending, LLC was determined to be the accounting acquirer under the Financial Accounting Standards Board’s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The determination was primarily based on the evaluation of the following facts and circumstances:</w:t>
      </w:r>
    </w:p>
    <w:p>
      <w:pPr>
        <w:spacing w:after="0" w:line="76"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pre-combination unitholders of Open Lending, LLC held the majority of voting rights in the Company;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pre-combination unitholders of Open Lending, LLC had the right to appoint the majority of the directors of the Company;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senior management of Open Lending, LLC became the senior management of the Company;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operations of Open Lending, LLC comprise the ongoing operations of the Company.</w:t>
      </w:r>
    </w:p>
    <w:p>
      <w:pPr>
        <w:spacing w:after="0" w:line="117" w:lineRule="exact"/>
        <w:rPr>
          <w:sz w:val="20"/>
          <w:szCs w:val="20"/>
          <w:color w:val="auto"/>
        </w:rPr>
      </w:pPr>
    </w:p>
    <w:p>
      <w:pPr>
        <w:jc w:val="both"/>
        <w:ind w:left="500"/>
        <w:spacing w:after="0" w:line="270" w:lineRule="auto"/>
        <w:rPr>
          <w:sz w:val="20"/>
          <w:szCs w:val="20"/>
          <w:color w:val="auto"/>
        </w:rPr>
      </w:pPr>
      <w:r>
        <w:rPr>
          <w:rFonts w:ascii="Arial" w:cs="Arial" w:eastAsia="Arial" w:hAnsi="Arial"/>
          <w:sz w:val="17"/>
          <w:szCs w:val="17"/>
          <w:color w:val="auto"/>
        </w:rPr>
        <w:t>In connection with the Business Combination, all outstanding units of Open Lending, LLC were converted into the common stock of the Company, with a par value of $0.01 per share, representing a recapitalization, and the net assets of Nebula were acquired at historical cost, with no goodwill or intangible assets recorded. Open Lending, LLC was deemed to be the Predecessor of the Company since the consolidated assets and liabilities and results of operations prior to the Closing Date were those of Open Lending, LLC. The shares and corresponding capital amounts and net income (loss) per share available to common stockholders, prior to the Business Combination, have been retroactively restated as shares reflecting the exchange ratio established in the Business Combination Agreement. The number of Series C preferred units in mezzanine equity was also retroactively restated in shares reflecting the exchange ratio, and the carrying amount of the Series C preferred units was based on the fair value of its redemption amount on each reporting date. All Series C preferred units were converted to the Company’s common stock on the Closing Date of the Business Combination.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4" w:name="page65"/>
    <w:bookmarkEnd w:id="64"/>
    <w:p>
      <w:pPr>
        <w:jc w:val="center"/>
        <w:ind w:right="474"/>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474"/>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6"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Use of estimates and judgments</w:t>
      </w:r>
    </w:p>
    <w:p>
      <w:pPr>
        <w:spacing w:after="0" w:line="117" w:lineRule="exact"/>
        <w:rPr>
          <w:sz w:val="20"/>
          <w:szCs w:val="20"/>
          <w:color w:val="auto"/>
        </w:rPr>
      </w:pPr>
    </w:p>
    <w:p>
      <w:pPr>
        <w:jc w:val="both"/>
        <w:ind w:left="6"/>
        <w:spacing w:after="0" w:line="259"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in the consolidated financial statements and accompanying notes. Actual results could differ from those estimates, and those differences may be material. Estimates and underlying assumptions are reviewed on an ongoing basis. Revisions to estimates are recognized prospectively.</w:t>
      </w:r>
    </w:p>
    <w:p>
      <w:pPr>
        <w:spacing w:after="0" w:line="79" w:lineRule="exact"/>
        <w:rPr>
          <w:sz w:val="20"/>
          <w:szCs w:val="20"/>
          <w:color w:val="auto"/>
        </w:rPr>
      </w:pPr>
    </w:p>
    <w:p>
      <w:pPr>
        <w:jc w:val="both"/>
        <w:ind w:left="6"/>
        <w:spacing w:after="0" w:line="259" w:lineRule="auto"/>
        <w:rPr>
          <w:sz w:val="20"/>
          <w:szCs w:val="20"/>
          <w:color w:val="auto"/>
        </w:rPr>
      </w:pPr>
      <w:r>
        <w:rPr>
          <w:rFonts w:ascii="Arial" w:cs="Arial" w:eastAsia="Arial" w:hAnsi="Arial"/>
          <w:sz w:val="18"/>
          <w:szCs w:val="18"/>
          <w:color w:val="auto"/>
        </w:rPr>
        <w:t>The most significant items subject to such estimates and assumptions include, but are not limited to, profit share revenue recognition and the corresponding impact on contract assets, the recognition of the valuation of share-based compensation arrangements, valuation of the Contingent Consideration, as defined below, and assessing the realizability of deferred tax assets. These estimates, although based on actual historical trend and modeling, may potentially show significant variances over time.</w:t>
      </w:r>
    </w:p>
    <w:p>
      <w:pPr>
        <w:spacing w:after="0" w:line="79"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Income taxes</w:t>
      </w:r>
    </w:p>
    <w:p>
      <w:pPr>
        <w:spacing w:after="0" w:line="117" w:lineRule="exact"/>
        <w:rPr>
          <w:sz w:val="20"/>
          <w:szCs w:val="20"/>
          <w:color w:val="auto"/>
        </w:rPr>
      </w:pPr>
    </w:p>
    <w:p>
      <w:pPr>
        <w:jc w:val="both"/>
        <w:ind w:left="6"/>
        <w:spacing w:after="0" w:line="275" w:lineRule="auto"/>
        <w:rPr>
          <w:sz w:val="20"/>
          <w:szCs w:val="20"/>
          <w:color w:val="auto"/>
        </w:rPr>
      </w:pPr>
      <w:r>
        <w:rPr>
          <w:rFonts w:ascii="Arial" w:cs="Arial" w:eastAsia="Arial" w:hAnsi="Arial"/>
          <w:sz w:val="17"/>
          <w:szCs w:val="17"/>
          <w:color w:val="auto"/>
        </w:rPr>
        <w:t>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basis and for operating loss and tax credit carryforwards. Deferred tax assets and liabilities are measured using enacted tax laws and rates expected to apply to taxable income in the years in which those temporary differences are expected to be recovered or settled. The effect of a change in tax rates on deferred tax assets and liabilities is recognized in income in the period that includes the enactment date.</w:t>
      </w:r>
    </w:p>
    <w:p>
      <w:pPr>
        <w:spacing w:after="0" w:line="68" w:lineRule="exact"/>
        <w:rPr>
          <w:sz w:val="20"/>
          <w:szCs w:val="20"/>
          <w:color w:val="auto"/>
        </w:rPr>
      </w:pPr>
    </w:p>
    <w:p>
      <w:pPr>
        <w:jc w:val="both"/>
        <w:ind w:left="6"/>
        <w:spacing w:after="0" w:line="277"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w:t>
      </w:r>
    </w:p>
    <w:p>
      <w:pPr>
        <w:spacing w:after="0" w:line="62" w:lineRule="exact"/>
        <w:rPr>
          <w:sz w:val="20"/>
          <w:szCs w:val="20"/>
          <w:color w:val="auto"/>
        </w:rPr>
      </w:pPr>
    </w:p>
    <w:p>
      <w:pPr>
        <w:jc w:val="both"/>
        <w:ind w:left="6"/>
        <w:spacing w:after="0" w:line="277"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as the largest amount that is greater than 50% likely of being realized.</w:t>
      </w:r>
    </w:p>
    <w:p>
      <w:pPr>
        <w:spacing w:after="0" w:line="62" w:lineRule="exact"/>
        <w:rPr>
          <w:sz w:val="20"/>
          <w:szCs w:val="20"/>
          <w:color w:val="auto"/>
        </w:rPr>
      </w:pPr>
    </w:p>
    <w:p>
      <w:pPr>
        <w:jc w:val="both"/>
        <w:ind w:left="6" w:right="20"/>
        <w:spacing w:after="0" w:line="277" w:lineRule="auto"/>
        <w:rPr>
          <w:sz w:val="20"/>
          <w:szCs w:val="20"/>
          <w:color w:val="auto"/>
        </w:rPr>
      </w:pPr>
      <w:r>
        <w:rPr>
          <w:rFonts w:ascii="Arial" w:cs="Arial" w:eastAsia="Arial" w:hAnsi="Arial"/>
          <w:sz w:val="18"/>
          <w:szCs w:val="18"/>
          <w:color w:val="auto"/>
        </w:rPr>
        <w:t>The Company records potential interest and penalties related to an underpayment of income taxes as other expenses and penalties and is recognized within general and administrative expenses within the consolidated statements of operations.</w:t>
      </w:r>
    </w:p>
    <w:p>
      <w:pPr>
        <w:spacing w:after="0" w:line="62"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Cash and cash equivalents</w:t>
      </w:r>
    </w:p>
    <w:p>
      <w:pPr>
        <w:spacing w:after="0" w:line="117" w:lineRule="exact"/>
        <w:rPr>
          <w:sz w:val="20"/>
          <w:szCs w:val="20"/>
          <w:color w:val="auto"/>
        </w:rPr>
      </w:pPr>
    </w:p>
    <w:p>
      <w:pPr>
        <w:jc w:val="both"/>
        <w:ind w:left="6"/>
        <w:spacing w:after="0" w:line="311" w:lineRule="auto"/>
        <w:rPr>
          <w:sz w:val="20"/>
          <w:szCs w:val="20"/>
          <w:color w:val="auto"/>
        </w:rPr>
      </w:pPr>
      <w:r>
        <w:rPr>
          <w:rFonts w:ascii="Arial" w:cs="Arial" w:eastAsia="Arial" w:hAnsi="Arial"/>
          <w:sz w:val="16"/>
          <w:szCs w:val="16"/>
          <w:color w:val="auto"/>
        </w:rPr>
        <w:t>Cash and cash equivalents consist of commercial analysis accounts, money market funds and U.S. Treasury securities. The Company considers securities that are highly liquid, readily convertible into cash and have original maturities of less than three months when purchased to be cash equivalents. The Company determines the appropriate classification of the Company’s cash and cash equivalents at the time of purchase.</w:t>
      </w:r>
    </w:p>
    <w:p>
      <w:pPr>
        <w:spacing w:after="0" w:line="41"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Restricted cash</w:t>
      </w:r>
    </w:p>
    <w:p>
      <w:pPr>
        <w:spacing w:after="0" w:line="117" w:lineRule="exact"/>
        <w:rPr>
          <w:sz w:val="20"/>
          <w:szCs w:val="20"/>
          <w:color w:val="auto"/>
        </w:rPr>
      </w:pPr>
    </w:p>
    <w:p>
      <w:pPr>
        <w:jc w:val="both"/>
        <w:ind w:left="6"/>
        <w:spacing w:after="0" w:line="273" w:lineRule="auto"/>
        <w:rPr>
          <w:sz w:val="20"/>
          <w:szCs w:val="20"/>
          <w:color w:val="auto"/>
        </w:rPr>
      </w:pPr>
      <w:r>
        <w:rPr>
          <w:rFonts w:ascii="Arial" w:cs="Arial" w:eastAsia="Arial" w:hAnsi="Arial"/>
          <w:sz w:val="17"/>
          <w:szCs w:val="17"/>
          <w:color w:val="auto"/>
        </w:rPr>
        <w:t>Restricted cash relates to deposits held in a financial institution for the processing of automated clearing house transactions and funds held by the Company on behalf of the insurance carriers, delegated for the use of insurance claim payments. Restricted cash is deposited in commercial analysis accounts at one financial institution. As a third-party administrator of insurance claims and refund adjudication, the Company collects funds from insurance partners which are intended to be used to settle insurance claims and process funds on behalf of the insurance partners. The balance of these funds held on behalf of insurance partners was $4.1 million and $3.1 million as of December 31, 2022 and 2021 respectively, with an offsetting liability included in third-party claims administration liability on the consolidated balance sheets.</w:t>
      </w:r>
    </w:p>
    <w:p>
      <w:pPr>
        <w:spacing w:after="0" w:line="70" w:lineRule="exact"/>
        <w:rPr>
          <w:sz w:val="20"/>
          <w:szCs w:val="20"/>
          <w:color w:val="auto"/>
        </w:rPr>
      </w:pPr>
    </w:p>
    <w:p>
      <w:pPr>
        <w:ind w:left="326" w:hanging="326"/>
        <w:spacing w:after="0"/>
        <w:tabs>
          <w:tab w:leader="none" w:pos="326"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left="6"/>
        <w:spacing w:after="0" w:line="257" w:lineRule="auto"/>
        <w:rPr>
          <w:sz w:val="20"/>
          <w:szCs w:val="20"/>
          <w:color w:val="auto"/>
        </w:rPr>
      </w:pPr>
      <w:r>
        <w:rPr>
          <w:rFonts w:ascii="Arial" w:cs="Arial" w:eastAsia="Arial" w:hAnsi="Arial"/>
          <w:sz w:val="18"/>
          <w:szCs w:val="18"/>
          <w:color w:val="auto"/>
        </w:rPr>
        <w:t>Accounts receivable includes program fees billed to customers, for which payments are expected to be received within 30 days from billing. The program fees are assessed at the time when the customer uses LPP to certify consumer loans and are billed either as an upfront fee or in 12 equal installments. The Company bills customers for the upfront fee following the month the service is provided and for the monthly installment fee over 12 months. Amounts collected on trade accounts receivable are included in net cash provided by operating activities in the consolidated statement of cash flows.</w:t>
      </w:r>
    </w:p>
    <w:p>
      <w:pPr>
        <w:spacing w:after="0" w:line="80"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8"/>
          <w:szCs w:val="18"/>
          <w:b w:val="1"/>
          <w:bCs w:val="1"/>
          <w:i w:val="1"/>
          <w:iCs w:val="1"/>
          <w:color w:val="auto"/>
        </w:rPr>
        <w:t>g)</w:t>
      </w:r>
      <w:r>
        <w:rPr>
          <w:sz w:val="20"/>
          <w:szCs w:val="20"/>
          <w:color w:val="auto"/>
        </w:rPr>
        <w:tab/>
      </w:r>
      <w:r>
        <w:rPr>
          <w:rFonts w:ascii="Arial" w:cs="Arial" w:eastAsia="Arial" w:hAnsi="Arial"/>
          <w:sz w:val="15"/>
          <w:szCs w:val="15"/>
          <w:b w:val="1"/>
          <w:bCs w:val="1"/>
          <w:i w:val="1"/>
          <w:iCs w:val="1"/>
          <w:color w:val="auto"/>
        </w:rPr>
        <w:t>Contract assets</w:t>
      </w:r>
    </w:p>
    <w:p>
      <w:pPr>
        <w:spacing w:after="0" w:line="117" w:lineRule="exact"/>
        <w:rPr>
          <w:sz w:val="20"/>
          <w:szCs w:val="20"/>
          <w:color w:val="auto"/>
        </w:rPr>
      </w:pPr>
    </w:p>
    <w:p>
      <w:pPr>
        <w:jc w:val="both"/>
        <w:ind w:left="6"/>
        <w:spacing w:after="0" w:line="263" w:lineRule="auto"/>
        <w:rPr>
          <w:sz w:val="20"/>
          <w:szCs w:val="20"/>
          <w:color w:val="auto"/>
        </w:rPr>
      </w:pPr>
      <w:r>
        <w:rPr>
          <w:rFonts w:ascii="Arial" w:cs="Arial" w:eastAsia="Arial" w:hAnsi="Arial"/>
          <w:sz w:val="18"/>
          <w:szCs w:val="18"/>
          <w:color w:val="auto"/>
        </w:rPr>
        <w:t>Contract assets for program fees are increased by recognized and unbilled program fee revenues related to monthly-pay arrangements. Once the monthly-pay arrangement’s program fees for the current month are due, they are reclassified from contract assets and recognized as accounts receivable. Contract assets for profit share and claims administration</w:t>
      </w:r>
    </w:p>
    <w:p>
      <w:pPr>
        <w:spacing w:after="0" w:line="200" w:lineRule="exact"/>
        <w:rPr>
          <w:sz w:val="20"/>
          <w:szCs w:val="20"/>
          <w:color w:val="auto"/>
        </w:rPr>
      </w:pPr>
    </w:p>
    <w:p>
      <w:pPr>
        <w:spacing w:after="0" w:line="321"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796" w:right="339" w:bottom="1440" w:gutter="0" w:footer="0" w:header="0"/>
        </w:sectPr>
      </w:pPr>
    </w:p>
    <w:bookmarkStart w:id="65" w:name="page66"/>
    <w:bookmarkEnd w:id="65"/>
    <w:p>
      <w:pPr>
        <w:jc w:val="center"/>
        <w:ind w:right="474"/>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474"/>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6" w:lineRule="exact"/>
        <w:rPr>
          <w:sz w:val="20"/>
          <w:szCs w:val="20"/>
          <w:color w:val="auto"/>
        </w:rPr>
      </w:pPr>
    </w:p>
    <w:p>
      <w:pPr>
        <w:jc w:val="both"/>
        <w:ind w:left="6"/>
        <w:spacing w:after="0" w:line="263" w:lineRule="auto"/>
        <w:rPr>
          <w:sz w:val="20"/>
          <w:szCs w:val="20"/>
          <w:color w:val="auto"/>
        </w:rPr>
      </w:pPr>
      <w:r>
        <w:rPr>
          <w:rFonts w:ascii="Arial" w:cs="Arial" w:eastAsia="Arial" w:hAnsi="Arial"/>
          <w:sz w:val="18"/>
          <w:szCs w:val="18"/>
          <w:color w:val="auto"/>
        </w:rPr>
        <w:t xml:space="preserve">fees (“TPA fees”) are increased for recognized profit share and TPA fees revenue and are decreased by payments received from insurance carriers within 60 days after month end. These payments are reported in net cash provided by operating activities within the consolidated statement of cash flows. Refer to </w:t>
      </w:r>
      <w:r>
        <w:rPr>
          <w:rFonts w:ascii="Arial" w:cs="Arial" w:eastAsia="Arial" w:hAnsi="Arial"/>
          <w:sz w:val="18"/>
          <w:szCs w:val="18"/>
          <w:u w:val="single" w:color="auto"/>
          <w:color w:val="0000FF"/>
        </w:rPr>
        <w:t>Note 4—Contract Assets</w:t>
      </w:r>
      <w:r>
        <w:rPr>
          <w:rFonts w:ascii="Arial" w:cs="Arial" w:eastAsia="Arial" w:hAnsi="Arial"/>
          <w:sz w:val="18"/>
          <w:szCs w:val="18"/>
          <w:color w:val="auto"/>
        </w:rPr>
        <w:t xml:space="preserve"> for additional information.</w:t>
      </w:r>
    </w:p>
    <w:p>
      <w:pPr>
        <w:spacing w:after="0" w:line="76" w:lineRule="exact"/>
        <w:rPr>
          <w:sz w:val="20"/>
          <w:szCs w:val="20"/>
          <w:color w:val="auto"/>
        </w:rPr>
      </w:pPr>
    </w:p>
    <w:p>
      <w:pPr>
        <w:ind w:left="6"/>
        <w:spacing w:after="0"/>
        <w:tabs>
          <w:tab w:leader="none" w:pos="306" w:val="left"/>
        </w:tabs>
        <w:rPr>
          <w:sz w:val="20"/>
          <w:szCs w:val="20"/>
          <w:color w:val="auto"/>
        </w:rPr>
      </w:pPr>
      <w:r>
        <w:rPr>
          <w:rFonts w:ascii="Arial" w:cs="Arial" w:eastAsia="Arial" w:hAnsi="Arial"/>
          <w:sz w:val="18"/>
          <w:szCs w:val="18"/>
          <w:b w:val="1"/>
          <w:bCs w:val="1"/>
          <w:i w:val="1"/>
          <w:iCs w:val="1"/>
          <w:color w:val="auto"/>
        </w:rPr>
        <w:t>h)</w:t>
      </w:r>
      <w:r>
        <w:rPr>
          <w:sz w:val="20"/>
          <w:szCs w:val="20"/>
          <w:color w:val="auto"/>
        </w:rPr>
        <w:tab/>
      </w:r>
      <w:r>
        <w:rPr>
          <w:rFonts w:ascii="Arial" w:cs="Arial" w:eastAsia="Arial" w:hAnsi="Arial"/>
          <w:sz w:val="15"/>
          <w:szCs w:val="15"/>
          <w:b w:val="1"/>
          <w:bCs w:val="1"/>
          <w:i w:val="1"/>
          <w:iCs w:val="1"/>
          <w:color w:val="auto"/>
        </w:rPr>
        <w:t>Allowance for expected credit losses</w:t>
      </w:r>
    </w:p>
    <w:p>
      <w:pPr>
        <w:spacing w:after="0" w:line="117" w:lineRule="exact"/>
        <w:rPr>
          <w:sz w:val="20"/>
          <w:szCs w:val="20"/>
          <w:color w:val="auto"/>
        </w:rPr>
      </w:pPr>
    </w:p>
    <w:p>
      <w:pPr>
        <w:jc w:val="both"/>
        <w:ind w:left="6"/>
        <w:spacing w:after="0" w:line="287" w:lineRule="auto"/>
        <w:rPr>
          <w:sz w:val="20"/>
          <w:szCs w:val="20"/>
          <w:color w:val="auto"/>
        </w:rPr>
      </w:pPr>
      <w:r>
        <w:rPr>
          <w:rFonts w:ascii="Arial" w:cs="Arial" w:eastAsia="Arial" w:hAnsi="Arial"/>
          <w:sz w:val="16"/>
          <w:szCs w:val="16"/>
          <w:color w:val="auto"/>
        </w:rPr>
        <w:t xml:space="preserve">Effective January 1, 2021, the Company adopted ASU 2016-13, </w:t>
      </w:r>
      <w:r>
        <w:rPr>
          <w:rFonts w:ascii="Arial" w:cs="Arial" w:eastAsia="Arial" w:hAnsi="Arial"/>
          <w:sz w:val="16"/>
          <w:szCs w:val="16"/>
          <w:i w:val="1"/>
          <w:iCs w:val="1"/>
          <w:color w:val="auto"/>
        </w:rPr>
        <w:t>Financial Instruments—Credit Losses: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(Topic 326) </w:t>
      </w:r>
      <w:r>
        <w:rPr>
          <w:rFonts w:ascii="Arial" w:cs="Arial" w:eastAsia="Arial" w:hAnsi="Arial"/>
          <w:sz w:val="16"/>
          <w:szCs w:val="16"/>
          <w:color w:val="auto"/>
        </w:rPr>
        <w:t>(“CECL”), and as such, the Company maintains an allowance for expected credit losses on its accounts receivable and</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assets. The allowance represents an estimate based primarily on market implied lifetime probabilities of default and loss severities for assets with similar risk characteristics. As these inputs are derived from market observations, they inherently include forward-looking expectations about macro-economic conditions. The allowance is evaluated quarterly by the Company for adequacy by taking into consideration factors such as reasonableness of the market implied loss statistics, historical lifetime loss data, and credit quality of the customer base. Provisions for the allowance for expected credit losses attributable to bad debt are recorded as general and administrative expenses. Account balances deemed uncollectible are written off, net of actual recoveries. If circumstances related to specific customers change, the Company’s estimate of the recoverability of its contract asset could be further adjusted. The Company does not have any material account receivable or contract asset receivable balances that are past due and has not written off any balances in its portfolio for the periods presented. The allowance for expected credit losses on accounts receivable and contract assets receivable, in the aggregate, was less than $0.2 million as of December 31, 2022 and 2021.</w:t>
      </w:r>
    </w:p>
    <w:p>
      <w:pPr>
        <w:spacing w:after="0" w:line="64" w:lineRule="exact"/>
        <w:rPr>
          <w:sz w:val="20"/>
          <w:szCs w:val="20"/>
          <w:color w:val="auto"/>
        </w:rPr>
      </w:pPr>
    </w:p>
    <w:p>
      <w:pPr>
        <w:ind w:left="306" w:hanging="306"/>
        <w:spacing w:after="0"/>
        <w:tabs>
          <w:tab w:leader="none" w:pos="306"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left="6"/>
        <w:spacing w:after="0" w:line="259" w:lineRule="auto"/>
        <w:rPr>
          <w:sz w:val="20"/>
          <w:szCs w:val="20"/>
          <w:color w:val="auto"/>
        </w:rPr>
      </w:pPr>
      <w:r>
        <w:rPr>
          <w:rFonts w:ascii="Arial" w:cs="Arial" w:eastAsia="Arial" w:hAnsi="Arial"/>
          <w:sz w:val="18"/>
          <w:szCs w:val="18"/>
          <w:color w:val="auto"/>
        </w:rPr>
        <w:t>The Company’s property and equipment primarily consists of software developed for internal use, furniture, fixtures and equipment used in the normal course of business, and leasehold improvements. Property and equipment are recorded at cost, less accumulated depreciation, amortization and impairment losses, if any. Major additions and improvements are capitalized, while maintenance and repairs that do not improve or extend the useful life of the respective asset are expensed as incurred.</w:t>
      </w:r>
    </w:p>
    <w:p>
      <w:pPr>
        <w:spacing w:after="0" w:line="79" w:lineRule="exact"/>
        <w:rPr>
          <w:sz w:val="20"/>
          <w:szCs w:val="20"/>
          <w:color w:val="auto"/>
        </w:rPr>
      </w:pPr>
    </w:p>
    <w:p>
      <w:pPr>
        <w:jc w:val="both"/>
        <w:ind w:left="6"/>
        <w:spacing w:after="0" w:line="259" w:lineRule="auto"/>
        <w:rPr>
          <w:sz w:val="20"/>
          <w:szCs w:val="20"/>
          <w:color w:val="auto"/>
        </w:rPr>
      </w:pPr>
      <w:r>
        <w:rPr>
          <w:rFonts w:ascii="Arial" w:cs="Arial" w:eastAsia="Arial" w:hAnsi="Arial"/>
          <w:sz w:val="18"/>
          <w:szCs w:val="18"/>
          <w:color w:val="auto"/>
        </w:rPr>
        <w:t>Depreciation and amortization expense is calculated using the straight-line method based on the estimated useful lives of the property and equipment, which ranges from three to eight years. Depreciation and amortization expense was $0.9 million, $0.8 million and $0.3 million for the years ended December 31, 2022, 2021 and 2020, respectively, and is recognized within general and administrative expenses in the consolidated statements of operations.</w:t>
      </w:r>
    </w:p>
    <w:p>
      <w:pPr>
        <w:spacing w:after="0" w:line="79" w:lineRule="exact"/>
        <w:rPr>
          <w:sz w:val="20"/>
          <w:szCs w:val="20"/>
          <w:color w:val="auto"/>
        </w:rPr>
      </w:pPr>
    </w:p>
    <w:p>
      <w:pPr>
        <w:ind w:left="6"/>
        <w:spacing w:after="0"/>
        <w:rPr>
          <w:sz w:val="20"/>
          <w:szCs w:val="20"/>
          <w:color w:val="auto"/>
        </w:rPr>
      </w:pPr>
      <w:r>
        <w:rPr>
          <w:rFonts w:ascii="Arial" w:cs="Arial" w:eastAsia="Arial" w:hAnsi="Arial"/>
          <w:sz w:val="18"/>
          <w:szCs w:val="18"/>
          <w:color w:val="auto"/>
        </w:rPr>
        <w:t>Leasehold improvements are amortized over the shorter of the lease term or the estimated useful lives of the assets.</w:t>
      </w:r>
    </w:p>
    <w:p>
      <w:pPr>
        <w:spacing w:after="0" w:line="117" w:lineRule="exact"/>
        <w:rPr>
          <w:sz w:val="20"/>
          <w:szCs w:val="20"/>
          <w:color w:val="auto"/>
        </w:rPr>
      </w:pPr>
    </w:p>
    <w:p>
      <w:pPr>
        <w:jc w:val="both"/>
        <w:ind w:left="6"/>
        <w:spacing w:after="0" w:line="263" w:lineRule="auto"/>
        <w:rPr>
          <w:sz w:val="20"/>
          <w:szCs w:val="20"/>
          <w:color w:val="auto"/>
        </w:rPr>
      </w:pPr>
      <w:r>
        <w:rPr>
          <w:rFonts w:ascii="Arial" w:cs="Arial" w:eastAsia="Arial" w:hAnsi="Arial"/>
          <w:sz w:val="18"/>
          <w:szCs w:val="18"/>
          <w:color w:val="auto"/>
        </w:rPr>
        <w:t>The Company’s property and equipment are reviewed for impairment whenever events or changes in circumstances indicate that the amount recorded may not be recoverable, and if not deemed recoverable based on the assets’ expected undiscounted cash flows, an impairment loss is recognized to the extent that the carrying amount exceeds the fair value.</w:t>
      </w:r>
    </w:p>
    <w:p>
      <w:pPr>
        <w:spacing w:after="0" w:line="76" w:lineRule="exact"/>
        <w:rPr>
          <w:sz w:val="20"/>
          <w:szCs w:val="20"/>
          <w:color w:val="auto"/>
        </w:rPr>
      </w:pPr>
    </w:p>
    <w:p>
      <w:pPr>
        <w:ind w:left="306" w:hanging="306"/>
        <w:spacing w:after="0"/>
        <w:tabs>
          <w:tab w:leader="none" w:pos="306"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jc w:val="both"/>
        <w:ind w:left="6"/>
        <w:spacing w:after="0" w:line="290" w:lineRule="auto"/>
        <w:rPr>
          <w:sz w:val="20"/>
          <w:szCs w:val="20"/>
          <w:color w:val="auto"/>
        </w:rPr>
      </w:pPr>
      <w:r>
        <w:rPr>
          <w:rFonts w:ascii="Arial" w:cs="Arial" w:eastAsia="Arial" w:hAnsi="Arial"/>
          <w:sz w:val="16"/>
          <w:szCs w:val="16"/>
          <w:color w:val="auto"/>
        </w:rPr>
        <w:t>The Company determines if an arrangement is a lease, or contains a lease, at the inception of the arrangement and evaluates whether the lease is an operating lease or a finance lease at the commencement date. The Company recognizes lease right-of-use (“ROU”) assets and lease liabilities for operating and finance leases with initial terms greater than 12 months. ROU assets represent the Company’s right to use an asset for the lease term, while lease liabilities represent the Company’s obligation to make the related lease payments. The ROU assets for operating and finance leases and liabilities are recognized based on the present value of fixed lease payments over the lease term at the lease commencement date. Lease liabilities are calculated as the present value of fixed payments not yet paid at the measurement date. Since the interest rate implicit in the Company’s leases is not readily determinable, the Company uses its incremental borrowing rate to determine the present value of its lease payments. The Company’s incremental borrowing rate is determined based on the interest rate paid to borrow on a collateralized basis over a similar term.</w:t>
      </w:r>
    </w:p>
    <w:p>
      <w:pPr>
        <w:spacing w:after="0" w:line="57" w:lineRule="exact"/>
        <w:rPr>
          <w:sz w:val="20"/>
          <w:szCs w:val="20"/>
          <w:color w:val="auto"/>
        </w:rPr>
      </w:pPr>
    </w:p>
    <w:p>
      <w:pPr>
        <w:jc w:val="both"/>
        <w:ind w:left="6"/>
        <w:spacing w:after="0" w:line="263" w:lineRule="auto"/>
        <w:rPr>
          <w:sz w:val="20"/>
          <w:szCs w:val="20"/>
          <w:color w:val="auto"/>
        </w:rPr>
      </w:pPr>
      <w:r>
        <w:rPr>
          <w:rFonts w:ascii="Arial" w:cs="Arial" w:eastAsia="Arial" w:hAnsi="Arial"/>
          <w:sz w:val="18"/>
          <w:szCs w:val="18"/>
          <w:color w:val="auto"/>
        </w:rPr>
        <w:t>Operating lease ROU assets are recognized net of any lease prepayments and incentives. Operating lease expense is recognized on a straight-line basis over the lease term. Variable lease payments that are not based on an index or a rate, such as common area maintenance fees, taxes and insurance, are expensed as incurred.</w:t>
      </w:r>
    </w:p>
    <w:p>
      <w:pPr>
        <w:spacing w:after="0" w:line="200" w:lineRule="exact"/>
        <w:rPr>
          <w:sz w:val="20"/>
          <w:szCs w:val="20"/>
          <w:color w:val="auto"/>
        </w:rPr>
      </w:pPr>
    </w:p>
    <w:p>
      <w:pPr>
        <w:spacing w:after="0" w:line="321"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796" w:right="339" w:bottom="1440" w:gutter="0" w:footer="0" w:header="0"/>
        </w:sectPr>
      </w:pPr>
    </w:p>
    <w:bookmarkStart w:id="66" w:name="page67"/>
    <w:bookmarkEnd w:id="66"/>
    <w:p>
      <w:pPr>
        <w:jc w:val="center"/>
        <w:ind w:right="312"/>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6" w:lineRule="exact"/>
        <w:rPr>
          <w:sz w:val="20"/>
          <w:szCs w:val="20"/>
          <w:color w:val="auto"/>
        </w:rPr>
      </w:pPr>
    </w:p>
    <w:p>
      <w:pPr>
        <w:ind w:left="168"/>
        <w:spacing w:after="0"/>
        <w:tabs>
          <w:tab w:leader="none" w:pos="448" w:val="left"/>
        </w:tabs>
        <w:rPr>
          <w:sz w:val="20"/>
          <w:szCs w:val="20"/>
          <w:color w:val="auto"/>
        </w:rPr>
      </w:pPr>
      <w:r>
        <w:rPr>
          <w:rFonts w:ascii="Arial" w:cs="Arial" w:eastAsia="Arial" w:hAnsi="Arial"/>
          <w:sz w:val="18"/>
          <w:szCs w:val="18"/>
          <w:b w:val="1"/>
          <w:bCs w:val="1"/>
          <w:i w:val="1"/>
          <w:iCs w:val="1"/>
          <w:color w:val="auto"/>
        </w:rPr>
        <w:t>k)</w:t>
      </w:r>
      <w:r>
        <w:rPr>
          <w:sz w:val="20"/>
          <w:szCs w:val="20"/>
          <w:color w:val="auto"/>
        </w:rPr>
        <w:tab/>
      </w:r>
      <w:r>
        <w:rPr>
          <w:rFonts w:ascii="Arial" w:cs="Arial" w:eastAsia="Arial" w:hAnsi="Arial"/>
          <w:sz w:val="15"/>
          <w:szCs w:val="15"/>
          <w:b w:val="1"/>
          <w:bCs w:val="1"/>
          <w:i w:val="1"/>
          <w:iCs w:val="1"/>
          <w:color w:val="auto"/>
        </w:rPr>
        <w:t>Fair value measurements</w:t>
      </w:r>
    </w:p>
    <w:p>
      <w:pPr>
        <w:spacing w:after="0" w:line="117" w:lineRule="exact"/>
        <w:rPr>
          <w:sz w:val="20"/>
          <w:szCs w:val="20"/>
          <w:color w:val="auto"/>
        </w:rPr>
      </w:pPr>
    </w:p>
    <w:p>
      <w:pPr>
        <w:jc w:val="both"/>
        <w:ind w:left="168"/>
        <w:spacing w:after="0" w:line="286" w:lineRule="auto"/>
        <w:rPr>
          <w:sz w:val="20"/>
          <w:szCs w:val="20"/>
          <w:color w:val="auto"/>
        </w:rPr>
      </w:pPr>
      <w:r>
        <w:rPr>
          <w:rFonts w:ascii="Arial" w:cs="Arial" w:eastAsia="Arial" w:hAnsi="Arial"/>
          <w:sz w:val="17"/>
          <w:szCs w:val="17"/>
          <w:color w:val="auto"/>
        </w:rPr>
        <w:t>Fair value is the exchange price that would be received for an asset or paid to transfer a liability in an orderly transaction between market participants. In arriving at a fair value measurement, the Company uses a fair value hierarchy based on three levels of inputs, of which the first two are considered observable and the last unobservable. The three levels of inputs used to establish fair value are the following:</w:t>
      </w:r>
    </w:p>
    <w:p>
      <w:pPr>
        <w:spacing w:after="0" w:line="57" w:lineRule="exact"/>
        <w:rPr>
          <w:sz w:val="20"/>
          <w:szCs w:val="20"/>
          <w:color w:val="auto"/>
        </w:rPr>
      </w:pPr>
    </w:p>
    <w:p>
      <w:pPr>
        <w:ind w:left="248" w:hanging="248"/>
        <w:spacing w:after="0"/>
        <w:tabs>
          <w:tab w:leader="none" w:pos="2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7" w:lineRule="exact"/>
        <w:rPr>
          <w:rFonts w:ascii="Arial" w:cs="Arial" w:eastAsia="Arial" w:hAnsi="Arial"/>
          <w:sz w:val="18"/>
          <w:szCs w:val="18"/>
          <w:color w:val="auto"/>
        </w:rPr>
      </w:pPr>
    </w:p>
    <w:p>
      <w:pPr>
        <w:ind w:left="328" w:right="100" w:hanging="328"/>
        <w:spacing w:after="0" w:line="263" w:lineRule="auto"/>
        <w:tabs>
          <w:tab w:leader="none" w:pos="2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75" w:lineRule="exact"/>
        <w:rPr>
          <w:rFonts w:ascii="Arial" w:cs="Arial" w:eastAsia="Arial" w:hAnsi="Arial"/>
          <w:sz w:val="18"/>
          <w:szCs w:val="18"/>
          <w:color w:val="auto"/>
        </w:rPr>
      </w:pPr>
    </w:p>
    <w:p>
      <w:pPr>
        <w:ind w:left="248" w:hanging="248"/>
        <w:spacing w:after="0"/>
        <w:tabs>
          <w:tab w:leader="none" w:pos="248" w:val="left"/>
        </w:tabs>
        <w:numPr>
          <w:ilvl w:val="0"/>
          <w:numId w:val="28"/>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140" w:lineRule="exact"/>
        <w:rPr>
          <w:rFonts w:ascii="Arial" w:cs="Arial" w:eastAsia="Arial" w:hAnsi="Arial"/>
          <w:sz w:val="16"/>
          <w:szCs w:val="16"/>
          <w:color w:val="auto"/>
        </w:rPr>
      </w:pPr>
    </w:p>
    <w:p>
      <w:pPr>
        <w:ind w:left="468" w:hanging="306"/>
        <w:spacing w:after="0"/>
        <w:tabs>
          <w:tab w:leader="none" w:pos="468" w:val="left"/>
        </w:tabs>
        <w:numPr>
          <w:ilvl w:val="1"/>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168"/>
        <w:spacing w:after="0" w:line="259" w:lineRule="auto"/>
        <w:rPr>
          <w:sz w:val="20"/>
          <w:szCs w:val="20"/>
          <w:color w:val="auto"/>
        </w:rPr>
      </w:pPr>
      <w:r>
        <w:rPr>
          <w:rFonts w:ascii="Arial" w:cs="Arial" w:eastAsia="Arial" w:hAnsi="Arial"/>
          <w:sz w:val="18"/>
          <w:szCs w:val="18"/>
          <w:color w:val="auto"/>
        </w:rPr>
        <w:t>The Company’s revenue is generated through three streams: (i) profit share paid to the Company by insurance partners, (ii) program fees paid to the Company by automotive lenders and (iii) claims administration service fees paid to the Company by insurance partners. The Company disaggregates revenues by revenue source (i.e., profit share, program fees, and claims administration and other service fees), and the level of disaggregation is presented in the consolidated statements of operations.</w:t>
      </w:r>
    </w:p>
    <w:p>
      <w:pPr>
        <w:spacing w:after="0" w:line="79" w:lineRule="exact"/>
        <w:rPr>
          <w:sz w:val="20"/>
          <w:szCs w:val="20"/>
          <w:color w:val="auto"/>
        </w:rPr>
      </w:pPr>
    </w:p>
    <w:p>
      <w:pPr>
        <w:jc w:val="both"/>
        <w:ind w:left="168"/>
        <w:spacing w:after="0" w:line="272" w:lineRule="auto"/>
        <w:rPr>
          <w:sz w:val="20"/>
          <w:szCs w:val="20"/>
          <w:color w:val="auto"/>
        </w:rPr>
      </w:pPr>
      <w:r>
        <w:rPr>
          <w:rFonts w:ascii="Arial" w:cs="Arial" w:eastAsia="Arial" w:hAnsi="Arial"/>
          <w:sz w:val="17"/>
          <w:szCs w:val="17"/>
          <w:color w:val="auto"/>
        </w:rPr>
        <w:t>The Company accounts for a contract with a customer when (i) both parties have approved the contract and are committed to perform their respective obligations, (ii) each party’s rights and payment terms can be identified, (iii) the contract has commercial substance, and (iv) it is probable the Company will collect substantially all of the consideration it is entitled to receive. Revenue is recognized when, or as, performance obligations are satisfied by transferring control of a promised product or service to a customer. In compliance with ASC 606, when the Company’s performance obligations have been completed, however the final amount of transaction price is unknown, the Company estimates the amount of the transaction price it expects to be entitled to under the Company’s customer contracts. The Company recognizes subsequent adjustments to an estimated transaction price upon the receipt of additional information or final settlement, whichever occurs first.</w:t>
      </w:r>
    </w:p>
    <w:p>
      <w:pPr>
        <w:spacing w:after="0" w:line="69" w:lineRule="exact"/>
        <w:rPr>
          <w:sz w:val="20"/>
          <w:szCs w:val="20"/>
          <w:color w:val="auto"/>
        </w:rPr>
      </w:pPr>
    </w:p>
    <w:p>
      <w:pPr>
        <w:jc w:val="both"/>
        <w:ind w:left="168"/>
        <w:spacing w:after="0" w:line="301" w:lineRule="auto"/>
        <w:rPr>
          <w:sz w:val="20"/>
          <w:szCs w:val="20"/>
          <w:color w:val="auto"/>
        </w:rPr>
      </w:pPr>
      <w:r>
        <w:rPr>
          <w:rFonts w:ascii="Arial" w:cs="Arial" w:eastAsia="Arial" w:hAnsi="Arial"/>
          <w:sz w:val="16"/>
          <w:szCs w:val="16"/>
          <w:i w:val="1"/>
          <w:iCs w:val="1"/>
          <w:color w:val="auto"/>
        </w:rPr>
        <w:t>Profit Share Revenue</w:t>
      </w:r>
      <w:r>
        <w:rPr>
          <w:rFonts w:ascii="Arial" w:cs="Arial" w:eastAsia="Arial" w:hAnsi="Arial"/>
          <w:sz w:val="16"/>
          <w:szCs w:val="16"/>
          <w:color w:val="auto"/>
        </w:rPr>
        <w:t>. Profit share represents the Company’s participation in the underwriting profit of third-party insurance partners who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automotive lenders with credit default insurance on loans those lenders make using LPP. The Company receives a percentage of the aggregate monthly insurance underwriting profit. Monthly insurance underwriting profit is calculated as the monthly earned premium less expenses and losses (including reserves for incurred, but not reported losses), with losses accrued and carried forward for future profit share calculations.</w:t>
      </w:r>
    </w:p>
    <w:p>
      <w:pPr>
        <w:spacing w:after="0" w:line="49" w:lineRule="exact"/>
        <w:rPr>
          <w:sz w:val="20"/>
          <w:szCs w:val="20"/>
          <w:color w:val="auto"/>
        </w:rPr>
      </w:pPr>
    </w:p>
    <w:p>
      <w:pPr>
        <w:jc w:val="both"/>
        <w:ind w:left="168"/>
        <w:spacing w:after="0" w:line="277" w:lineRule="auto"/>
        <w:rPr>
          <w:sz w:val="20"/>
          <w:szCs w:val="20"/>
          <w:color w:val="auto"/>
        </w:rPr>
      </w:pPr>
      <w:r>
        <w:rPr>
          <w:rFonts w:ascii="Arial" w:cs="Arial" w:eastAsia="Arial" w:hAnsi="Arial"/>
          <w:sz w:val="18"/>
          <w:szCs w:val="18"/>
          <w:color w:val="auto"/>
        </w:rPr>
        <w:t>The Company fulfills its performance obligation upon placement of the insurance and recognizes profit share based on the amount of cash flows it expects to receive from the insurance company over the term of the underlying insured loan.</w:t>
      </w:r>
    </w:p>
    <w:p>
      <w:pPr>
        <w:spacing w:after="0" w:line="62" w:lineRule="exact"/>
        <w:rPr>
          <w:sz w:val="20"/>
          <w:szCs w:val="20"/>
          <w:color w:val="auto"/>
        </w:rPr>
      </w:pPr>
    </w:p>
    <w:p>
      <w:pPr>
        <w:jc w:val="both"/>
        <w:ind w:left="168"/>
        <w:spacing w:after="0" w:line="296" w:lineRule="auto"/>
        <w:rPr>
          <w:sz w:val="20"/>
          <w:szCs w:val="20"/>
          <w:color w:val="auto"/>
        </w:rPr>
      </w:pPr>
      <w:r>
        <w:rPr>
          <w:rFonts w:ascii="Arial" w:cs="Arial" w:eastAsia="Arial" w:hAnsi="Arial"/>
          <w:sz w:val="16"/>
          <w:szCs w:val="16"/>
          <w:color w:val="auto"/>
        </w:rPr>
        <w:t>On a quarterly basis, the Company uses a forecast model to estimate variable consideration based on undiscounted expected future profit share to be received from the insurance carriers. The forecast model projects loan-level earned premiums and insurance claim payments driven by projections of prepayment rate, loan default rate and severity of loss. These assumptions are derived from an analysis of the historical performance of the active loan portfolio, prevailing default and prepayment trends, and macroeconomic projections. Estimates of variable consideration generated by the forecast model are constrained to the extent that it is probable that a significant reversal of incremental revenue will not occur in future periods.</w:t>
      </w:r>
    </w:p>
    <w:p>
      <w:pPr>
        <w:spacing w:after="0" w:line="53" w:lineRule="exact"/>
        <w:rPr>
          <w:sz w:val="20"/>
          <w:szCs w:val="20"/>
          <w:color w:val="auto"/>
        </w:rPr>
      </w:pPr>
    </w:p>
    <w:p>
      <w:pPr>
        <w:jc w:val="both"/>
        <w:ind w:left="168"/>
        <w:spacing w:after="0" w:line="308" w:lineRule="auto"/>
        <w:rPr>
          <w:sz w:val="20"/>
          <w:szCs w:val="20"/>
          <w:color w:val="auto"/>
        </w:rPr>
      </w:pPr>
      <w:r>
        <w:rPr>
          <w:rFonts w:ascii="Arial" w:cs="Arial" w:eastAsia="Arial" w:hAnsi="Arial"/>
          <w:sz w:val="17"/>
          <w:szCs w:val="17"/>
          <w:color w:val="auto"/>
        </w:rPr>
        <w:t>The Company continually assesses the default and prepayment assumptions of its core forecast model against reported performance and lender delinquency data. The forecast model is updated to ensure that default and prepayment rate projections align with actual experience.</w:t>
      </w:r>
    </w:p>
    <w:p>
      <w:pPr>
        <w:spacing w:after="0" w:line="38" w:lineRule="exact"/>
        <w:rPr>
          <w:sz w:val="20"/>
          <w:szCs w:val="20"/>
          <w:color w:val="auto"/>
        </w:rPr>
      </w:pPr>
    </w:p>
    <w:p>
      <w:pPr>
        <w:jc w:val="both"/>
        <w:ind w:left="168"/>
        <w:spacing w:after="0" w:line="263" w:lineRule="auto"/>
        <w:rPr>
          <w:sz w:val="20"/>
          <w:szCs w:val="20"/>
          <w:color w:val="auto"/>
        </w:rPr>
      </w:pPr>
      <w:r>
        <w:rPr>
          <w:rFonts w:ascii="Arial" w:cs="Arial" w:eastAsia="Arial" w:hAnsi="Arial"/>
          <w:sz w:val="18"/>
          <w:szCs w:val="18"/>
          <w:i w:val="1"/>
          <w:iCs w:val="1"/>
          <w:color w:val="auto"/>
        </w:rPr>
        <w:t>Program fee revenue</w:t>
      </w:r>
      <w:r>
        <w:rPr>
          <w:rFonts w:ascii="Arial" w:cs="Arial" w:eastAsia="Arial" w:hAnsi="Arial"/>
          <w:sz w:val="18"/>
          <w:szCs w:val="18"/>
          <w:color w:val="auto"/>
        </w:rPr>
        <w:t>. The Company earns program fees by providing customers with access to and use of LPP. Program fee contracts contain a</w:t>
      </w:r>
      <w:r>
        <w:rPr>
          <w:rFonts w:ascii="Arial" w:cs="Arial" w:eastAsia="Arial" w:hAnsi="Arial"/>
          <w:sz w:val="18"/>
          <w:szCs w:val="18"/>
          <w:i w:val="1"/>
          <w:iCs w:val="1"/>
          <w:color w:val="auto"/>
        </w:rPr>
        <w:t xml:space="preserve"> </w:t>
      </w:r>
      <w:r>
        <w:rPr>
          <w:rFonts w:ascii="Arial" w:cs="Arial" w:eastAsia="Arial" w:hAnsi="Arial"/>
          <w:sz w:val="18"/>
          <w:szCs w:val="18"/>
          <w:color w:val="auto"/>
        </w:rPr>
        <w:t>single performance obligation, which is complete when a loan is certified through LPP and is issued by the lending institution. Approximately 10% of loan originations are paid through 12-month financing arrangements.</w:t>
      </w:r>
    </w:p>
    <w:p>
      <w:pPr>
        <w:spacing w:after="0" w:line="76" w:lineRule="exact"/>
        <w:rPr>
          <w:sz w:val="20"/>
          <w:szCs w:val="20"/>
          <w:color w:val="auto"/>
        </w:rPr>
      </w:pPr>
    </w:p>
    <w:p>
      <w:pPr>
        <w:jc w:val="both"/>
        <w:ind w:left="168" w:right="20"/>
        <w:spacing w:after="0" w:line="263" w:lineRule="auto"/>
        <w:rPr>
          <w:sz w:val="20"/>
          <w:szCs w:val="20"/>
          <w:color w:val="auto"/>
        </w:rPr>
      </w:pPr>
      <w:r>
        <w:rPr>
          <w:rFonts w:ascii="Arial" w:cs="Arial" w:eastAsia="Arial" w:hAnsi="Arial"/>
          <w:sz w:val="18"/>
          <w:szCs w:val="18"/>
          <w:i w:val="1"/>
          <w:iCs w:val="1"/>
          <w:color w:val="auto"/>
        </w:rPr>
        <w:t>Claims administration services</w:t>
      </w:r>
      <w:r>
        <w:rPr>
          <w:rFonts w:ascii="Arial" w:cs="Arial" w:eastAsia="Arial" w:hAnsi="Arial"/>
          <w:sz w:val="18"/>
          <w:szCs w:val="18"/>
          <w:color w:val="auto"/>
        </w:rPr>
        <w:t>. For the insurance policies issued through the Company’s program, the Company provides adjudication services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claims on the third-party insurer’s policies for auto loans processed through LPP. The Company earns a monthly service fee which is calculated by the third-party insurance providers as 3% of the</w:t>
      </w:r>
    </w:p>
    <w:p>
      <w:pPr>
        <w:spacing w:after="0" w:line="200" w:lineRule="exact"/>
        <w:rPr>
          <w:sz w:val="20"/>
          <w:szCs w:val="20"/>
          <w:color w:val="auto"/>
        </w:rPr>
      </w:pPr>
    </w:p>
    <w:p>
      <w:pPr>
        <w:spacing w:after="0" w:line="32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796" w:right="339" w:bottom="1440" w:gutter="0" w:footer="0" w:header="0"/>
        </w:sectPr>
      </w:pPr>
    </w:p>
    <w:bookmarkStart w:id="67" w:name="page68"/>
    <w:bookmarkEnd w:id="67"/>
    <w:p>
      <w:pPr>
        <w:jc w:val="center"/>
        <w:ind w:right="480"/>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monthly net insurance earned premium collected over the life of the underlying loan. In this arrangement, the performance obligation to provide claims administration services is generally satisfied over time, with the customer simultaneously receiving and consuming the benefits as the Company satisfies its performance obligations. Revenue is recognized as the service is provided over the term of the adjudication contract with the insurance carrier.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Research and development costs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costs consist primarily of compensation and benefits of employees engaged in the ongoing development of the Company’s lending enablement platform, LPP.</w:t>
      </w:r>
    </w:p>
    <w:p>
      <w:pPr>
        <w:spacing w:after="0" w:line="6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n)</w:t>
      </w:r>
      <w:r>
        <w:rPr>
          <w:sz w:val="20"/>
          <w:szCs w:val="20"/>
          <w:color w:val="auto"/>
        </w:rPr>
        <w:tab/>
      </w:r>
      <w:r>
        <w:rPr>
          <w:rFonts w:ascii="Arial" w:cs="Arial" w:eastAsia="Arial" w:hAnsi="Arial"/>
          <w:sz w:val="15"/>
          <w:szCs w:val="15"/>
          <w:b w:val="1"/>
          <w:bCs w:val="1"/>
          <w:i w:val="1"/>
          <w:iCs w:val="1"/>
          <w:color w:val="auto"/>
        </w:rPr>
        <w:t>Deferred financing costs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financing costs incurred in connection with the issuance of debt are capitalized and amortized to interest expense in accordance with the related debt agreement. Deferred financing costs related to the New Term Loan due 2027 are included as a reduction within long-term debt, net of deferred financing costs in the accompanying consolidated balance sheets. Deferred financing costs related to the 2021 Revolving Credit Facility are included in other assets on the accompanying consolidated balance sheets.</w:t>
      </w:r>
    </w:p>
    <w:p>
      <w:pPr>
        <w:spacing w:after="0" w:line="79"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i w:val="1"/>
          <w:iCs w:val="1"/>
          <w:color w:val="auto"/>
        </w:rPr>
        <w:t>o)</w:t>
      </w:r>
      <w:r>
        <w:rPr>
          <w:sz w:val="20"/>
          <w:szCs w:val="20"/>
          <w:color w:val="auto"/>
        </w:rPr>
        <w:tab/>
      </w:r>
      <w:r>
        <w:rPr>
          <w:rFonts w:ascii="Arial" w:cs="Arial" w:eastAsia="Arial" w:hAnsi="Arial"/>
          <w:sz w:val="15"/>
          <w:szCs w:val="15"/>
          <w:b w:val="1"/>
          <w:bCs w:val="1"/>
          <w:i w:val="1"/>
          <w:iCs w:val="1"/>
          <w:color w:val="auto"/>
        </w:rPr>
        <w:t>Share-based compensation</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uses the grant date fair value of time-based restricted stock units (“RSUs”) and PSUs and utilizes the Black-Scholes option pricing model to estimate the fair value of employee stock options. This model requires the use of input assumptions, including expected volatility, expected life, expected dividend yield, and expected risk-free rate of return. The expected life of the awards is estimated using the “Simplified Method”, which utilizes the midpoint between the vesting date and the end of the contractual term. The Company uses the Simplified Method due to the lack of sufficient historical exercise data to provide a reasonable basis upon which to otherwise estimate the expected life of the stock options. The risk-free interest rate assumption is based on observed interest rates appropriate for the terms of awards. The expected volatility is based on the average of implied and observed historical volatility of comparable companies since the Company does not have enough history as a public company. Changes in these assumptions can materially affect the fair value estimate of the awards.</w:t>
      </w:r>
    </w:p>
    <w:p>
      <w:pPr>
        <w:spacing w:after="0" w:line="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recognizes compensation expense for unvested awards in the consolidated statements of operations and, net of actual forfeitures in the period they occur, on a straight-line basis over the requisite service or performance period. PSUs are evaluated on a quarterly basis for probability of meeting performance metrics and any adjustments to share-based compensation expense are then made in the quarter of evaluation. For PSUs, the Company must also make assumptions regarding the likelihood of achieving performance metrics. If actual results differ significantly from these estimates, share-based compensation expense and the Company’s results of operations could be materially affected.</w:t>
      </w:r>
    </w:p>
    <w:p>
      <w:pPr>
        <w:spacing w:after="0" w:line="53" w:lineRule="exact"/>
        <w:rPr>
          <w:sz w:val="20"/>
          <w:szCs w:val="20"/>
          <w:color w:val="auto"/>
        </w:rPr>
      </w:pPr>
    </w:p>
    <w:p>
      <w:pPr>
        <w:ind w:right="1960"/>
        <w:spacing w:after="0" w:line="375" w:lineRule="auto"/>
        <w:rPr>
          <w:sz w:val="20"/>
          <w:szCs w:val="20"/>
          <w:color w:val="auto"/>
        </w:rPr>
      </w:pPr>
      <w:r>
        <w:rPr>
          <w:rFonts w:ascii="Arial" w:cs="Arial" w:eastAsia="Arial" w:hAnsi="Arial"/>
          <w:sz w:val="18"/>
          <w:szCs w:val="18"/>
          <w:color w:val="auto"/>
        </w:rPr>
        <w:t xml:space="preserve">The Company expects to issue shares from treasury stock when stock options are exercised or when RSUs and PSUs vest. </w:t>
      </w:r>
      <w:r>
        <w:rPr>
          <w:rFonts w:ascii="Arial" w:cs="Arial" w:eastAsia="Arial" w:hAnsi="Arial"/>
          <w:sz w:val="18"/>
          <w:szCs w:val="18"/>
          <w:b w:val="1"/>
          <w:bCs w:val="1"/>
          <w:i w:val="1"/>
          <w:iCs w:val="1"/>
          <w:color w:val="auto"/>
        </w:rPr>
        <w:t>p) Contingent consideration</w:t>
      </w:r>
    </w:p>
    <w:p>
      <w:pPr>
        <w:spacing w:after="0" w:line="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part of the Business Combination, Open Lending, LLC unitholders and certain Nebula equity holders were entitled to additional consideration in the form of shares of the Company’s common stock to be issued when the Company’s common stock price achieved certain market share price milestones within specified periods following the Closing Date (the “Contingent Consideration”). In addition, the Nebula sponsors were restricted to transfer a portion of their founder shares unless market share price targets were achieved within the specified period.</w:t>
      </w:r>
    </w:p>
    <w:p>
      <w:pPr>
        <w:spacing w:after="0" w:line="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Pursuant to the guidance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Contingent Consideration was classified as a Level 3 fair value measurement liability, and the increase or decrease in the fair value during the reporting period was recognized as expense or income accordingly. The fair value of the Contingent Consideration was estimated using the Monte Carlo simulation of the stock prices based on historical and implied market volatility. The fair value of the Contingent Consideration on each vesting date (i.e., the date when each respective share price performance milestone was achieved) was based on the closing share price of the Company's publicly traded stock on the vesting date.</w:t>
      </w:r>
    </w:p>
    <w:p>
      <w:pPr>
        <w:spacing w:after="0" w:line="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Company’s Contingent Consideration was settled in July and August of 2020. Refer to </w:t>
      </w:r>
      <w:r>
        <w:rPr>
          <w:rFonts w:ascii="Arial" w:cs="Arial" w:eastAsia="Arial" w:hAnsi="Arial"/>
          <w:sz w:val="18"/>
          <w:szCs w:val="18"/>
          <w:u w:val="single" w:color="auto"/>
          <w:color w:val="0000FF"/>
        </w:rPr>
        <w:t>Note 6—Contingent Consideration</w:t>
      </w:r>
      <w:r>
        <w:rPr>
          <w:rFonts w:ascii="Arial" w:cs="Arial" w:eastAsia="Arial" w:hAnsi="Arial"/>
          <w:sz w:val="18"/>
          <w:szCs w:val="18"/>
          <w:color w:val="auto"/>
        </w:rPr>
        <w:t xml:space="preserve"> for additional information regarding the nature and timing of the Company’s Contingent Consideration.</w:t>
      </w:r>
    </w:p>
    <w:p>
      <w:pPr>
        <w:spacing w:after="0" w:line="62"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i w:val="1"/>
          <w:iCs w:val="1"/>
          <w:color w:val="auto"/>
        </w:rPr>
        <w:t>q)</w:t>
      </w:r>
      <w:r>
        <w:rPr>
          <w:sz w:val="20"/>
          <w:szCs w:val="20"/>
          <w:color w:val="auto"/>
        </w:rPr>
        <w:tab/>
      </w:r>
      <w:r>
        <w:rPr>
          <w:rFonts w:ascii="Arial" w:cs="Arial" w:eastAsia="Arial" w:hAnsi="Arial"/>
          <w:sz w:val="15"/>
          <w:szCs w:val="15"/>
          <w:b w:val="1"/>
          <w:bCs w:val="1"/>
          <w:i w:val="1"/>
          <w:iCs w:val="1"/>
          <w:color w:val="auto"/>
        </w:rPr>
        <w:t>Treasury stock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accounts for treasury stock under the cost method and includes treasury stock as a component of stockholders’ equity (deficit).</w:t>
      </w:r>
    </w:p>
    <w:p>
      <w:pPr>
        <w:spacing w:after="0" w:line="200" w:lineRule="exact"/>
        <w:rPr>
          <w:sz w:val="20"/>
          <w:szCs w:val="20"/>
          <w:color w:val="auto"/>
        </w:rPr>
      </w:pPr>
    </w:p>
    <w:p>
      <w:pPr>
        <w:spacing w:after="0" w:line="37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796" w:right="339" w:bottom="1440" w:gutter="0" w:footer="0" w:header="0"/>
        </w:sectPr>
      </w:pPr>
    </w:p>
    <w:bookmarkStart w:id="68" w:name="page69"/>
    <w:bookmarkEnd w:id="68"/>
    <w:p>
      <w:pPr>
        <w:jc w:val="center"/>
        <w:ind w:right="474"/>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474"/>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6" w:lineRule="exact"/>
        <w:rPr>
          <w:sz w:val="20"/>
          <w:szCs w:val="20"/>
          <w:color w:val="auto"/>
        </w:rPr>
      </w:pPr>
    </w:p>
    <w:p>
      <w:pPr>
        <w:ind w:left="326" w:hanging="326"/>
        <w:spacing w:after="0"/>
        <w:tabs>
          <w:tab w:leader="none" w:pos="326"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(loss) per share</w:t>
      </w:r>
    </w:p>
    <w:p>
      <w:pPr>
        <w:spacing w:after="0" w:line="117" w:lineRule="exact"/>
        <w:rPr>
          <w:sz w:val="20"/>
          <w:szCs w:val="20"/>
          <w:color w:val="auto"/>
        </w:rPr>
      </w:pPr>
    </w:p>
    <w:p>
      <w:pPr>
        <w:jc w:val="both"/>
        <w:ind w:left="6"/>
        <w:spacing w:after="0" w:line="263" w:lineRule="auto"/>
        <w:rPr>
          <w:sz w:val="20"/>
          <w:szCs w:val="20"/>
          <w:color w:val="auto"/>
        </w:rPr>
      </w:pPr>
      <w:r>
        <w:rPr>
          <w:rFonts w:ascii="Arial" w:cs="Arial" w:eastAsia="Arial" w:hAnsi="Arial"/>
          <w:sz w:val="18"/>
          <w:szCs w:val="18"/>
          <w:color w:val="auto"/>
        </w:rPr>
        <w:t>The Company computes net income (loss) per share using the two-class method required for participating securities. The two-class method requires income available to common stockholders for the period to be allocated between common stock and participating securities based upon their respective rights to receive distributions as if all income for the period had been distributed.</w:t>
      </w:r>
    </w:p>
    <w:p>
      <w:pPr>
        <w:spacing w:after="0" w:line="76" w:lineRule="exact"/>
        <w:rPr>
          <w:sz w:val="20"/>
          <w:szCs w:val="20"/>
          <w:color w:val="auto"/>
        </w:rPr>
      </w:pPr>
    </w:p>
    <w:p>
      <w:pPr>
        <w:jc w:val="both"/>
        <w:ind w:left="6"/>
        <w:spacing w:after="0" w:line="279" w:lineRule="auto"/>
        <w:rPr>
          <w:sz w:val="20"/>
          <w:szCs w:val="20"/>
          <w:color w:val="auto"/>
        </w:rPr>
      </w:pPr>
      <w:r>
        <w:rPr>
          <w:rFonts w:ascii="Arial" w:cs="Arial" w:eastAsia="Arial" w:hAnsi="Arial"/>
          <w:sz w:val="17"/>
          <w:szCs w:val="17"/>
          <w:color w:val="auto"/>
        </w:rPr>
        <w:t>Prior to the Business Combination, the Company’s pre-merger LLC membership structure included common units and convertible preferred units which were regarded as participating securities. When calculating the net income (loss) per share for the presented periods, the Company has retroactively restated the number of common and preferred units issued and outstanding prior to the Closing Date to the number of shares of common stock into which they were converted, based on the exchange ratio established in the Business Combination Agreement.</w:t>
      </w:r>
    </w:p>
    <w:p>
      <w:pPr>
        <w:spacing w:after="0" w:line="63" w:lineRule="exact"/>
        <w:rPr>
          <w:sz w:val="20"/>
          <w:szCs w:val="20"/>
          <w:color w:val="auto"/>
        </w:rPr>
      </w:pPr>
    </w:p>
    <w:p>
      <w:pPr>
        <w:jc w:val="both"/>
        <w:ind w:left="6"/>
        <w:spacing w:after="0" w:line="272" w:lineRule="auto"/>
        <w:rPr>
          <w:sz w:val="20"/>
          <w:szCs w:val="20"/>
          <w:color w:val="auto"/>
        </w:rPr>
      </w:pPr>
      <w:r>
        <w:rPr>
          <w:rFonts w:ascii="Arial" w:cs="Arial" w:eastAsia="Arial" w:hAnsi="Arial"/>
          <w:sz w:val="17"/>
          <w:szCs w:val="17"/>
          <w:color w:val="auto"/>
        </w:rPr>
        <w:t>In accordance with the Company’s pre-merger LLC membership structure, holders of the redeemable convertible preferred units were entitled to distributions in preference to common stockholders, at specified rates, if declared. The Company also recognized adjustments to redemption amount of the redeemable convertible preferred units similar to a distribution, in temporary equity. Any remaining net income would then be distributed to the holders of common stock and non-redeemable convertible preferred units on a pro-rata basis assuming conversion of all convertible preferred units into common stock in the event that the Company had profits to be allocated to the stockholders. However, the redeemable convertible preferred units did not contractually require the holders of such participating instruments to participate in the Company’s losses. As such, net losses for the periods presented were allocated to common stock only.</w:t>
      </w:r>
    </w:p>
    <w:p>
      <w:pPr>
        <w:spacing w:after="0" w:line="69" w:lineRule="exact"/>
        <w:rPr>
          <w:sz w:val="20"/>
          <w:szCs w:val="20"/>
          <w:color w:val="auto"/>
        </w:rPr>
      </w:pPr>
    </w:p>
    <w:p>
      <w:pPr>
        <w:jc w:val="both"/>
        <w:ind w:left="6"/>
        <w:spacing w:after="0" w:line="275" w:lineRule="auto"/>
        <w:rPr>
          <w:sz w:val="20"/>
          <w:szCs w:val="20"/>
          <w:color w:val="auto"/>
        </w:rPr>
      </w:pPr>
      <w:r>
        <w:rPr>
          <w:rFonts w:ascii="Arial" w:cs="Arial" w:eastAsia="Arial" w:hAnsi="Arial"/>
          <w:sz w:val="17"/>
          <w:szCs w:val="17"/>
          <w:color w:val="auto"/>
        </w:rPr>
        <w:t>The Company’s basic net income (loss) per share is calculated by dividing net income (loss) attributable to common stockholders by the weighted-average number of shares of common shares outstanding for the period, without consideration of potentially dilutive securities. The diluted net income (loss) per share is calculated by giving effect to all potentially dilutive securities outstanding for the period using the treasury stock method or the if-converted method based on the nature of such securities. Diluted net income (loss) per share is the same as basic net income (loss) per share in periods when the effects of potentially dilutive shares of common stock are anti-dilutive.</w:t>
      </w:r>
    </w:p>
    <w:p>
      <w:pPr>
        <w:spacing w:after="0" w:line="68" w:lineRule="exact"/>
        <w:rPr>
          <w:sz w:val="20"/>
          <w:szCs w:val="20"/>
          <w:color w:val="auto"/>
        </w:rPr>
      </w:pPr>
    </w:p>
    <w:p>
      <w:pPr>
        <w:ind w:left="326" w:hanging="326"/>
        <w:spacing w:after="0"/>
        <w:tabs>
          <w:tab w:leader="none" w:pos="326"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revenue and credit risks</w:t>
      </w:r>
    </w:p>
    <w:p>
      <w:pPr>
        <w:spacing w:after="0" w:line="117" w:lineRule="exact"/>
        <w:rPr>
          <w:sz w:val="20"/>
          <w:szCs w:val="20"/>
          <w:color w:val="auto"/>
        </w:rPr>
      </w:pPr>
    </w:p>
    <w:p>
      <w:pPr>
        <w:jc w:val="both"/>
        <w:ind w:left="6"/>
        <w:spacing w:after="0" w:line="275" w:lineRule="auto"/>
        <w:rPr>
          <w:sz w:val="20"/>
          <w:szCs w:val="20"/>
          <w:color w:val="auto"/>
        </w:rPr>
      </w:pPr>
      <w:r>
        <w:rPr>
          <w:rFonts w:ascii="Arial" w:cs="Arial" w:eastAsia="Arial" w:hAnsi="Arial"/>
          <w:sz w:val="17"/>
          <w:szCs w:val="17"/>
          <w:color w:val="auto"/>
        </w:rPr>
        <w:t>The Company’s three largest insurance carrier partners accounted for 34%, 11% and 10%, respectively, of the Company’s total revenue during the year ended December 31, 2022. The Company’s two largest insurance carrier partners accounted for 41% and 22%, respectively, of the Company’s total revenue during the year ended December 31, 2021. In the event that one or more of the Company’s other significant customers terminate their relationships with the Company, or elect to utilize an alternative source for financing, the number of loans originated through LPP would decline, which would materially and adversely affect the Company’s business and, in turn, its revenue.</w:t>
      </w:r>
    </w:p>
    <w:p>
      <w:pPr>
        <w:spacing w:after="0" w:line="68" w:lineRule="exact"/>
        <w:rPr>
          <w:sz w:val="20"/>
          <w:szCs w:val="20"/>
          <w:color w:val="auto"/>
        </w:rPr>
      </w:pPr>
    </w:p>
    <w:p>
      <w:pPr>
        <w:jc w:val="both"/>
        <w:ind w:left="6"/>
        <w:spacing w:after="0" w:line="277" w:lineRule="auto"/>
        <w:rPr>
          <w:sz w:val="20"/>
          <w:szCs w:val="20"/>
          <w:color w:val="auto"/>
        </w:rPr>
      </w:pPr>
      <w:r>
        <w:rPr>
          <w:rFonts w:ascii="Arial" w:cs="Arial" w:eastAsia="Arial" w:hAnsi="Arial"/>
          <w:sz w:val="18"/>
          <w:szCs w:val="18"/>
          <w:color w:val="auto"/>
        </w:rPr>
        <w:t>Financial instruments that potentially subject the Company to credit risk consist of cash and cash equivalents, restricted cash, accounts receivable and contract assets to the extent of the amounts recorded on the balance sheets.</w:t>
      </w:r>
    </w:p>
    <w:p>
      <w:pPr>
        <w:spacing w:after="0" w:line="62" w:lineRule="exact"/>
        <w:rPr>
          <w:sz w:val="20"/>
          <w:szCs w:val="20"/>
          <w:color w:val="auto"/>
        </w:rPr>
      </w:pPr>
    </w:p>
    <w:p>
      <w:pPr>
        <w:jc w:val="both"/>
        <w:ind w:left="6"/>
        <w:spacing w:after="0" w:line="296" w:lineRule="auto"/>
        <w:rPr>
          <w:sz w:val="20"/>
          <w:szCs w:val="20"/>
          <w:color w:val="auto"/>
        </w:rPr>
      </w:pPr>
      <w:r>
        <w:rPr>
          <w:rFonts w:ascii="Arial" w:cs="Arial" w:eastAsia="Arial" w:hAnsi="Arial"/>
          <w:sz w:val="16"/>
          <w:szCs w:val="16"/>
          <w:color w:val="auto"/>
        </w:rPr>
        <w:t>Cash and cash equivalents are deposited in commercial analysis accounts, money market funds and U.S. Treasury securities at financial institutions with high credit standing. Restricted cash relates to funds held by the Company on behalf of the insurance carriers, delegated for the use of insurance claim payments. Restricted cash is deposited in commercial analysis accounts at one financial institution. At times, such deposits may be in excess of the Federal Deposit Insurance Corporation insurance limits of $250,000 per institution. The Company has not experienced any losses on its deposits of cash and cash equivalents and management believes the Company is not exposed to significant risks on such accounts.</w:t>
      </w:r>
    </w:p>
    <w:p>
      <w:pPr>
        <w:spacing w:after="0" w:line="53" w:lineRule="exact"/>
        <w:rPr>
          <w:sz w:val="20"/>
          <w:szCs w:val="20"/>
          <w:color w:val="auto"/>
        </w:rPr>
      </w:pPr>
    </w:p>
    <w:p>
      <w:pPr>
        <w:jc w:val="both"/>
        <w:ind w:left="6"/>
        <w:spacing w:after="0" w:line="342" w:lineRule="auto"/>
        <w:rPr>
          <w:sz w:val="20"/>
          <w:szCs w:val="20"/>
          <w:color w:val="auto"/>
        </w:rPr>
      </w:pPr>
      <w:r>
        <w:rPr>
          <w:rFonts w:ascii="Arial" w:cs="Arial" w:eastAsia="Arial" w:hAnsi="Arial"/>
          <w:sz w:val="16"/>
          <w:szCs w:val="16"/>
          <w:color w:val="auto"/>
        </w:rPr>
        <w:t>The Company’s accounts receivable and contract assets are derived from revenue earned from customers. Effective January 1, 2021, the Company maintains an allowance for expected credit losses on its accounts receivable and contract asset receivable in accordance with CECL.</w:t>
      </w:r>
    </w:p>
    <w:p>
      <w:pPr>
        <w:spacing w:after="0" w:line="16" w:lineRule="exact"/>
        <w:rPr>
          <w:sz w:val="20"/>
          <w:szCs w:val="20"/>
          <w:color w:val="auto"/>
        </w:rPr>
      </w:pPr>
    </w:p>
    <w:p>
      <w:pPr>
        <w:jc w:val="both"/>
        <w:ind w:left="6"/>
        <w:spacing w:after="0" w:line="277" w:lineRule="auto"/>
        <w:rPr>
          <w:sz w:val="20"/>
          <w:szCs w:val="20"/>
          <w:color w:val="auto"/>
        </w:rPr>
      </w:pPr>
      <w:r>
        <w:rPr>
          <w:rFonts w:ascii="Arial" w:cs="Arial" w:eastAsia="Arial" w:hAnsi="Arial"/>
          <w:sz w:val="18"/>
          <w:szCs w:val="18"/>
          <w:color w:val="auto"/>
        </w:rPr>
        <w:t>As of December 31, 2022, the Company had no customers that represented at least 10% of the Company’s accounts receivable. As of December 31, 2021, the Company had two customers that each represented at least 10% of the Company’s accounts receivable.</w:t>
      </w:r>
    </w:p>
    <w:p>
      <w:pPr>
        <w:spacing w:after="0" w:line="62" w:lineRule="exact"/>
        <w:rPr>
          <w:sz w:val="20"/>
          <w:szCs w:val="20"/>
          <w:color w:val="auto"/>
        </w:rPr>
      </w:pPr>
    </w:p>
    <w:p>
      <w:pPr>
        <w:ind w:left="306" w:hanging="306"/>
        <w:spacing w:after="0"/>
        <w:tabs>
          <w:tab w:leader="none" w:pos="306"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jc w:val="both"/>
        <w:ind w:left="6"/>
        <w:spacing w:after="0" w:line="259"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within Topic 848</w:t>
      </w:r>
      <w:r>
        <w:rPr>
          <w:rFonts w:ascii="Arial" w:cs="Arial" w:eastAsia="Arial" w:hAnsi="Arial"/>
          <w:sz w:val="18"/>
          <w:szCs w:val="18"/>
          <w:color w:val="auto"/>
        </w:rPr>
        <w:t>, which provides optional expedients and exceptions to contracts, hedging relationships, and other transactions affected by reference rate reform if certain criteria are met. The amendments in this update apply only to contracts, hedging relationships, and other transactions that reference the London Inter-bank Offered Rate (“LIBOR”) or another reference rate expected to be</w:t>
      </w:r>
    </w:p>
    <w:p>
      <w:pPr>
        <w:spacing w:after="0" w:line="200" w:lineRule="exact"/>
        <w:rPr>
          <w:sz w:val="20"/>
          <w:szCs w:val="20"/>
          <w:color w:val="auto"/>
        </w:rPr>
      </w:pPr>
    </w:p>
    <w:p>
      <w:pPr>
        <w:spacing w:after="0" w:line="324"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796"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6" w:lineRule="exact"/>
        <w:rPr>
          <w:sz w:val="20"/>
          <w:szCs w:val="20"/>
          <w:color w:val="auto"/>
        </w:rPr>
      </w:pPr>
    </w:p>
    <w:p>
      <w:pPr>
        <w:jc w:val="both"/>
        <w:ind w:left="500"/>
        <w:spacing w:after="0" w:line="287" w:lineRule="auto"/>
        <w:rPr>
          <w:sz w:val="20"/>
          <w:szCs w:val="20"/>
          <w:color w:val="auto"/>
        </w:rPr>
      </w:pPr>
      <w:r>
        <w:rPr>
          <w:rFonts w:ascii="Arial" w:cs="Arial" w:eastAsia="Arial" w:hAnsi="Arial"/>
          <w:sz w:val="16"/>
          <w:szCs w:val="16"/>
          <w:color w:val="auto"/>
        </w:rPr>
        <w:t xml:space="preserve">discontinued due to reference rate reform. The expedients and exceptions provided by the amendments do not apply to contract modifications made and hedging relationships entered into or evaluated after December 31, 2022, except for hedging relationships existing as of December 31, 2022 for which an entity has elected certain optional expedients and are retained through the end of the hedging relationship. The amendments in this update also include a general principle that permits an entity to consider contract modifications due to reference rate reform to be an event that does not require contract remeasurement at the modification date or reassessment of a previous accounting determination. If elected, the optional expedients for contract modifications must be applied consistently for all eligible contracts or eligible transactions within the relevant ASC Topic or Industry Subtopic that contains the guidance that otherwise would be required to be applied. The amendments in this update were effective upon issuance and may be applied prospectively to contract modifications made and hedging relationships entered into or evaluated on or before December 31, 2022. The Company has experienced no unintended outcomes or consequences of reference rate reform that would necessitate the adoption of this guidance. As such, the Company has considered this guidance in relation to its existing credit agreement, and determined that it is not applicable (refer to the 2022 Credit Agreement discussion within </w:t>
      </w:r>
      <w:r>
        <w:rPr>
          <w:rFonts w:ascii="Arial" w:cs="Arial" w:eastAsia="Arial" w:hAnsi="Arial"/>
          <w:sz w:val="16"/>
          <w:szCs w:val="16"/>
          <w:u w:val="single" w:color="auto"/>
          <w:color w:val="0000FF"/>
        </w:rPr>
        <w:t>Note 5—Debt</w:t>
      </w:r>
      <w:r>
        <w:rPr>
          <w:rFonts w:ascii="Arial" w:cs="Arial" w:eastAsia="Arial" w:hAnsi="Arial"/>
          <w:sz w:val="16"/>
          <w:szCs w:val="16"/>
          <w:color w:val="auto"/>
        </w:rPr>
        <w:t>).</w:t>
      </w:r>
    </w:p>
    <w:p>
      <w:pPr>
        <w:spacing w:after="0" w:line="64"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the Company has adopted or may adopt, as applicable, the Company believes none of these accounting pronouncements has materially impacted or will have a material impact on the Company’s consolidated financial position or results of operations.</w:t>
      </w:r>
    </w:p>
    <w:p>
      <w:pPr>
        <w:spacing w:after="0" w:line="76" w:lineRule="exact"/>
        <w:rPr>
          <w:sz w:val="20"/>
          <w:szCs w:val="20"/>
          <w:color w:val="auto"/>
        </w:rPr>
      </w:pPr>
    </w:p>
    <w:p>
      <w:pPr>
        <w:ind w:left="840" w:hanging="346"/>
        <w:spacing w:after="0"/>
        <w:tabs>
          <w:tab w:leader="none" w:pos="84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Recently adopted new accounting standards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new standards adopted by the Company during the year ended December 31,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3—Business Combination</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10, 2020, the Closing Date, Nebula entered into a Business Combination with Open Lending, LLC pursuant to the Business Combination Agreement. In accordance with ASC 805, for financial accounting and reporting purposes, Open Lending, LLC was determined to be the accounting acquirer and Nebula was treated as the accounting acquiree. Accordingly, the Business Combination was accounted for as a reverse recapitalization, whereby it was treated as the equivalent of Open Lending, LLC issuing equity for the net assets of Nebula, accompanied by a recapitalization. Under this method of accounting, the consolidated financial statements of Open Lending, LLC were deemed the historical financial statements of the Company, while the net assets of Nebula were recorded at historical costs, with no goodwill or other intangible assets in accordance with U.S. GAAP, and thereafter, consolidated with Open Lending, LLC’s financial statements on the Closing Date. The shares and net income (loss) per share available to holders of the Company’s common stock, prior to the Business Combination, have been retroactively restated as shares reflecting the exchange ratio established in the Business Combination Agreement.</w:t>
      </w:r>
    </w:p>
    <w:p>
      <w:pPr>
        <w:spacing w:after="0" w:line="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As a result of the Business Combination, Open Lending, LLC’s unitholders received aggregate consideration of approximately $1.0 billion, which consisted of (i) $328.8 million in cash at the closing of the Business Combination, net of transaction expenses, (ii) $135.0 million in cash distribution from debt issued in March 2020, and (iii) 51,909,655 shares of common stock valued at $10.00 per share, totaling $519.1 million. In addition, Open Lending, LLC’s unitholders were entitled to receive additional Contingent Consideration of up to an aggregate of 22,500,000 shares if the price of the Company’s common stock trading on the Nasdaq at a given time met certain thresholds following the Business Combination. All Contingent Consideration shares were issued or released during the year ended December 31, 2020. Refer to </w:t>
      </w:r>
      <w:r>
        <w:rPr>
          <w:rFonts w:ascii="Arial" w:cs="Arial" w:eastAsia="Arial" w:hAnsi="Arial"/>
          <w:sz w:val="16"/>
          <w:szCs w:val="16"/>
          <w:u w:val="single" w:color="auto"/>
          <w:color w:val="0000FF"/>
        </w:rPr>
        <w:t>Note 6—Contingent Consideration</w:t>
      </w:r>
      <w:r>
        <w:rPr>
          <w:rFonts w:ascii="Arial" w:cs="Arial" w:eastAsia="Arial" w:hAnsi="Arial"/>
          <w:sz w:val="16"/>
          <w:szCs w:val="16"/>
          <w:color w:val="auto"/>
        </w:rPr>
        <w:t xml:space="preserve"> for additional information.</w:t>
      </w: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connection with the Business Combination, the Company incurred direct and incremental costs of approximately $55.5 million related to equity issuance during the year ended December 31, 2020, which primarily included investment banking, legal, accounting and other professional fees recorded to additional paid-in capital as a reduction of related proceeds. The Company also incurred $9.1 million in transaction bonuses paid to key employees and directors and $2.2 million in share-based compensation expense due to the accelerated vesting of Open Lending, LLC’s legacy share-based compensation plan. The transaction bonuses and the accelerated share-based compensation expense were included in general and administrative expense on the Company’s consolidated statement of operations for the year ended December 31, 2020. Refer to </w:t>
      </w:r>
      <w:r>
        <w:rPr>
          <w:rFonts w:ascii="Arial" w:cs="Arial" w:eastAsia="Arial" w:hAnsi="Arial"/>
          <w:sz w:val="18"/>
          <w:szCs w:val="18"/>
          <w:u w:val="single" w:color="auto"/>
          <w:color w:val="0000FF"/>
        </w:rPr>
        <w:t>Note 8—Share-Based Compensation</w:t>
      </w:r>
      <w:r>
        <w:rPr>
          <w:rFonts w:ascii="Arial" w:cs="Arial" w:eastAsia="Arial" w:hAnsi="Arial"/>
          <w:sz w:val="18"/>
          <w:szCs w:val="18"/>
          <w:color w:val="auto"/>
        </w:rPr>
        <w:t xml:space="preserve"> for additional information.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4—Contract Assets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in the Company’s contract assets primarily result from the timing difference between the satisfaction of its performance obligation and the customer’s payment. The Company fulfills its obligation under a contract with a customer by transferring services in exchange for consideration from the customer. The Company recognizes contract assets when it transfers services to a customer, recognizes revenue for amounts not yet billed, and the right to consideration is conditional 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something other than the passage of time. Accounts receivable are recorded when the customer has been billed or the right to consideration is unconditional.</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performance obligations satisfied in previous periods, the Company evaluates and updates its profit share revenue forecast on a quarterly basis and adjusts contract assets accordingly. During the years ended December 31, 2022 and 2021, contract asset adjustments attributable to profit share revenue forecast adjustments resulted in a reduction of $5.7 million and an increase of $30.9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balances for the periods indicated below were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b w:val="1"/>
                <w:bCs w:val="1"/>
                <w:color w:val="auto"/>
                <w:w w:val="86"/>
              </w:rPr>
              <w:t>Contract Assets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178"/>
        </w:trPr>
        <w:tc>
          <w:tcPr>
            <w:tcW w:w="5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ind w:left="160"/>
              <w:spacing w:after="0" w:line="177" w:lineRule="exact"/>
              <w:rPr>
                <w:sz w:val="20"/>
                <w:szCs w:val="20"/>
                <w:color w:val="auto"/>
              </w:rPr>
            </w:pPr>
            <w:r>
              <w:rPr>
                <w:rFonts w:ascii="Arial" w:cs="Arial" w:eastAsia="Arial" w:hAnsi="Arial"/>
                <w:sz w:val="18"/>
                <w:szCs w:val="18"/>
                <w:b w:val="1"/>
                <w:bCs w:val="1"/>
                <w:color w:val="auto"/>
              </w:rPr>
              <w:t>Profit</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line="177" w:lineRule="exact"/>
              <w:rPr>
                <w:sz w:val="20"/>
                <w:szCs w:val="20"/>
                <w:color w:val="auto"/>
              </w:rPr>
            </w:pPr>
            <w:r>
              <w:rPr>
                <w:rFonts w:ascii="Arial" w:cs="Arial" w:eastAsia="Arial" w:hAnsi="Arial"/>
                <w:sz w:val="18"/>
                <w:szCs w:val="18"/>
                <w:b w:val="1"/>
                <w:bCs w:val="1"/>
                <w:color w:val="auto"/>
                <w:w w:val="91"/>
              </w:rPr>
              <w:t>Program</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4"/>
        </w:trPr>
        <w:tc>
          <w:tcPr>
            <w:tcW w:w="56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Share</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TPA Fee</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3"/>
              </w:rPr>
              <w:t>Fee</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5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40" w:type="dxa"/>
            <w:vAlign w:val="bottom"/>
            <w:gridSpan w:val="5"/>
            <w:shd w:val="clear" w:color="auto" w:fill="CCEEFF"/>
          </w:tcPr>
          <w:p>
            <w:pPr>
              <w:jc w:val="center"/>
              <w:ind w:right="320"/>
              <w:spacing w:after="0"/>
              <w:rPr>
                <w:sz w:val="20"/>
                <w:szCs w:val="20"/>
                <w:color w:val="auto"/>
              </w:rPr>
            </w:pPr>
            <w:r>
              <w:rPr>
                <w:rFonts w:ascii="Arial" w:cs="Arial" w:eastAsia="Arial" w:hAnsi="Arial"/>
                <w:sz w:val="18"/>
                <w:szCs w:val="18"/>
                <w:i w:val="1"/>
                <w:iCs w:val="1"/>
                <w:color w:val="auto"/>
                <w:w w:val="91"/>
              </w:rPr>
              <w:t>(in thousands)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Ending balance as of December 31, 2020</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83,177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822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5,343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89,342</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of contract assets due to new business generation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184,755</w:t>
            </w:r>
          </w:p>
        </w:tc>
      </w:tr>
      <w:tr>
        <w:trPr>
          <w:trHeight w:val="188"/>
        </w:trPr>
        <w:tc>
          <w:tcPr>
            <w:tcW w:w="5600" w:type="dxa"/>
            <w:vAlign w:val="bottom"/>
          </w:tcPr>
          <w:p>
            <w:pPr>
              <w:ind w:left="20"/>
              <w:spacing w:after="0" w:line="189" w:lineRule="exact"/>
              <w:rPr>
                <w:sz w:val="20"/>
                <w:szCs w:val="20"/>
                <w:color w:val="auto"/>
              </w:rPr>
            </w:pPr>
            <w:r>
              <w:rPr>
                <w:rFonts w:ascii="Arial" w:cs="Arial" w:eastAsia="Arial" w:hAnsi="Arial"/>
                <w:sz w:val="18"/>
                <w:szCs w:val="18"/>
                <w:color w:val="auto"/>
              </w:rPr>
              <w:t>Adjustment of contract assets due to estimation of revenue from</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performance obligations satisfied in previous periods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30,891</w:t>
            </w:r>
          </w:p>
        </w:tc>
      </w:tr>
      <w:tr>
        <w:trPr>
          <w:trHeight w:val="188"/>
        </w:trPr>
        <w:tc>
          <w:tcPr>
            <w:tcW w:w="56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Receivables transferred from contract assets upon billing the lending</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institutions</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(74,808)</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Payments received from insurance carriers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(110,732)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(117,037)</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expected credit losses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Ending balance as of December 31, 2021</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105,486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6,154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112,956</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of contract assets due to new business generation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185,469</w:t>
            </w:r>
          </w:p>
        </w:tc>
      </w:tr>
      <w:tr>
        <w:trPr>
          <w:trHeight w:val="188"/>
        </w:trPr>
        <w:tc>
          <w:tcPr>
            <w:tcW w:w="5600" w:type="dxa"/>
            <w:vAlign w:val="bottom"/>
          </w:tcPr>
          <w:p>
            <w:pPr>
              <w:ind w:left="20"/>
              <w:spacing w:after="0" w:line="189" w:lineRule="exact"/>
              <w:rPr>
                <w:sz w:val="20"/>
                <w:szCs w:val="20"/>
                <w:color w:val="auto"/>
              </w:rPr>
            </w:pPr>
            <w:r>
              <w:rPr>
                <w:rFonts w:ascii="Arial" w:cs="Arial" w:eastAsia="Arial" w:hAnsi="Arial"/>
                <w:sz w:val="18"/>
                <w:szCs w:val="18"/>
                <w:color w:val="auto"/>
              </w:rPr>
              <w:t>Adjustment of contract assets due to estimation of revenue from</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performance obligations satisfied in previous periods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(5,677)</w:t>
            </w:r>
          </w:p>
        </w:tc>
      </w:tr>
      <w:tr>
        <w:trPr>
          <w:trHeight w:val="188"/>
        </w:trPr>
        <w:tc>
          <w:tcPr>
            <w:tcW w:w="56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Receivables transferred from contract assets upon billing the lending</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institutions</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(79,039)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(79,039)</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Payments received from insurance carriers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(129,740)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(138,372)</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expected credit losses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Ending balance as of December 31, 2022</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65,889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7,932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75,430</w:t>
            </w:r>
          </w:p>
        </w:tc>
      </w:tr>
      <w:tr>
        <w:trPr>
          <w:trHeight w:val="20"/>
        </w:trPr>
        <w:tc>
          <w:tcPr>
            <w:tcW w:w="5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2022 and 2021, the Company’s contract assets consisted of $54.4 million and $70.5 million, respectively, as the current portion estimated to be received within one year, and $21.0 million and $42.4 million, respectively, in the non-current portion to be received beyond one year.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fulfillment costs associated with the Company’s contracts with customers do not meet the criteria for capitalization and therefore are expensed as incurred.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r>
              <w:rPr>
                <w:rFonts w:ascii="Arial" w:cs="Arial" w:eastAsia="Arial" w:hAnsi="Arial"/>
                <w:sz w:val="18"/>
                <w:szCs w:val="18"/>
                <w:b w:val="1"/>
                <w:bCs w:val="1"/>
                <w:color w:val="auto"/>
              </w:rPr>
              <w:t>Note 5—Debt</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24"/>
        </w:trPr>
        <w:tc>
          <w:tcPr>
            <w:tcW w:w="8260" w:type="dxa"/>
            <w:vAlign w:val="bottom"/>
          </w:tcPr>
          <w:p>
            <w:pPr>
              <w:spacing w:after="0"/>
              <w:rPr>
                <w:sz w:val="20"/>
                <w:szCs w:val="20"/>
                <w:color w:val="auto"/>
              </w:rPr>
            </w:pPr>
            <w:r>
              <w:rPr>
                <w:rFonts w:ascii="Arial" w:cs="Arial" w:eastAsia="Arial" w:hAnsi="Arial"/>
                <w:sz w:val="18"/>
                <w:szCs w:val="18"/>
                <w:color w:val="auto"/>
              </w:rPr>
              <w:t>The following table provides a summary of the Company’s debt as of the dates indicated:</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8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Pr>
          <w:p>
            <w:pPr>
              <w:spacing w:after="0"/>
              <w:rPr>
                <w:sz w:val="24"/>
                <w:szCs w:val="24"/>
                <w:color w:val="auto"/>
              </w:rPr>
            </w:pPr>
          </w:p>
        </w:tc>
      </w:tr>
      <w:tr>
        <w:trPr>
          <w:trHeight w:val="27"/>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2021</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(in thousands)</w:t>
            </w: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New Term Loan due 2027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149,063</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due 2026</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122,656</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2021 Revolving Credit Facility</w:t>
            </w:r>
          </w:p>
        </w:tc>
        <w:tc>
          <w:tcPr>
            <w:tcW w:w="3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Unamortized deferred financing costs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147,433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146,260</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 of debt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r>
      <w:tr>
        <w:trPr>
          <w:trHeight w:val="26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Total long-term debt, net of deferred financing costs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143,683</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143,135</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Credit Agreement—Term Loan due 2027</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11, 2020, the Company entered into a credit agreement with UBS A.G., as the administrative agent, and the lenders from time to time party thereto (the “Prior Credit Agreement”). Pursuant to the Prior Credit Agreement, the lenders thereto funded a Term Loan due 2027 in a principal amount of $170.0 million, bearing an interest rate per annum of LIBOR plus 6.50% (subject to a LIBOR floor of 1.0%) and maturing in March 2027.</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March 19, 2021, the Company retired the Term Loan due 2027 by paying off its outstanding principal and interest using proceeds from the issuance of the Term Loan due 2026 and the 2021 Revolving Credit Facility (both as defined below). The transaction was deemed a debt extinguishment under ASC Topic 405-20, </w:t>
      </w:r>
      <w:r>
        <w:rPr>
          <w:rFonts w:ascii="Arial" w:cs="Arial" w:eastAsia="Arial" w:hAnsi="Arial"/>
          <w:sz w:val="18"/>
          <w:szCs w:val="18"/>
          <w:i w:val="1"/>
          <w:iCs w:val="1"/>
          <w:color w:val="auto"/>
        </w:rPr>
        <w:t>“Liabilities—Extinguishments of Liabilities”</w:t>
      </w:r>
      <w:r>
        <w:rPr>
          <w:rFonts w:ascii="Arial" w:cs="Arial" w:eastAsia="Arial" w:hAnsi="Arial"/>
          <w:sz w:val="18"/>
          <w:szCs w:val="18"/>
          <w:color w:val="auto"/>
        </w:rPr>
        <w:t xml:space="preserve"> and accordingly, the Company recognized a non-cash debt extinguishment loss of $8.8 million within loss on extinguishment of debt in the consolidated statements of operations. The loss on debt extinguishment was determined as the difference between the carrying amount of the debt and the price paid to retire the debt, which primarily consisted of the write-off of the unamortized deferred financing costs related to the Term Loan due 2027.</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Credit Agreement—Term Loan due 2026, New Term Loan due 2027, and New Revolving Credit Facility</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19, 2021, the Company entered into a credit agreement with Wells Fargo Bank, N.A. (“Wells Fargo”) as the administrative agent, pursuant to which the lenders thereto (i) funded a senior secured term loan in an aggregate principal amount of $125.0 million maturing in March 2026 (the “Term Loan due 2026”) and (ii) committed to provide a $50.0 million senior secured revolving credit facility, including a $10.0 million letter of credit sub-facility, maturing in March 2026 (the “2021 Revolving Credit Facility”), collectively, the “2021 Credit Agreement”.</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9, 2022, the Company entered into a First Amendment to the 2021 Credit Agreement with Wells Fargo, as the administrative agent, and the financial institutions party thereto, as the lenders). The First Amendment provided the Company senior secured credit facilities in an aggregate principal amount of $300.0 million, which (i) established a New Term Loan due 2027 with a principal amount of $150.0 million, and (ii) increased the borrowing capacity on the New Revolving Credit Facility to $150.0 million, both scheduled to mature on September 9, 2027. In addition, the First Amendment, among other things, (i) replaced LIBOR with Adjusted SOFR as the interest rate benchmark, (ii) decreased the unused fees and the interest rate margins applicable to the New Revolving Credit Facility, (iii) resulted in lower interest rate margins applicable to the New Term Loan due 2027 compared to those applicable to the Term Loan due 2026 that have been repaid, (iv) provided financial covenant flexibility by extending the date at which the net leverage ratio covenant steps-down from 3.5:1 to 3.0:1 to September 30, 2024, and (v) extended the date at which the required term loan amortization payments increase from 2.5% per annum to 5.0% per annum from June 30, 2023 to December 31, 2024.</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used proceeds from the New Term Loan due 2027 to pay off all outstanding amounts under the 2021 Credit Agreement and pay transaction costs related to the First Amendment. The remaining proceeds were used for working capital and other general corporate purposes. The transaction was treated as a debt modification under ASC Topic 470-50, </w:t>
      </w:r>
      <w:r>
        <w:rPr>
          <w:rFonts w:ascii="Arial" w:cs="Arial" w:eastAsia="Arial" w:hAnsi="Arial"/>
          <w:sz w:val="18"/>
          <w:szCs w:val="18"/>
          <w:i w:val="1"/>
          <w:iCs w:val="1"/>
          <w:color w:val="auto"/>
        </w:rPr>
        <w:t>“Modifications and Extinguishments”.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obligations of the Company under the New Term Loan due 2027 and the New Revolving Credit Facility are guaranteed by all of the Company’s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subsidiaries and are secured by substantially all of the assets of the Company and its U.S. subsidiaries, subject to customary exceptions.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under the New Term Loan due 2027 and the New Revolving Credit Facility are, at the option of the Company, either at an Alternate Base rate (“ABR”) plus a spread ranging from 0.625% to 1.375%, or Adjusted SOFR plus a spread ranging from 1.625% to 2.375%. With respect to the ABR loans, interest will be payable at the end of each calendar quarter. With respect to the Adjusted SOFR loans, interest will be payable at the end of the selected interest period (at least quarterly). Additionally, there is a commitment fee payable at the end of each quarter at a rate per annum ranging from 0.15% to 0.225% based on the average daily unused portion of the New Revolving Credit Facility and other customary letter of credit fees. Pursuant to the 2022 Credit Agreement, the interest rate spreads and commitment fees increase or decrease in increments as the Company’s Funded Secured Debt/EBITDA ratio increases or decreases.</w:t>
      </w:r>
    </w:p>
    <w:p>
      <w:pPr>
        <w:spacing w:after="0" w:line="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December 31, 2022, the New Term Loan due 2027 and the New Revolving Credit Facility were both subject to an Adjusted SOFR rate of 3.82% plus a spread of 1.63% per annum. Commitment fees were accrued at 0.15% under the New Revolving Credit Facility’s unused commitment balance of $150.0 million as of December 31, 2022. As of December 31, 2022, the effective interest rate on the Company’s outstanding borrowings was 5.69%.</w:t>
      </w:r>
    </w:p>
    <w:p>
      <w:pPr>
        <w:spacing w:after="0" w:line="4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the 2021 and 2022 Credit Agreements, the Company incurred aggregate deferred financing costs of $2.6 million, of which (i) $2.1 million was allocated to the related term loans and capitalized as a contra-liability against the principal balance of the term loans, and (ii) $0.5 million was allocated to the 2021 Revolving Credit Facility and is included within other assets on the consolidated balance sheets. These deferred financing costs are amortized as interest expense using the effective interest method over the term of the 2022 Credit Agreement. Unamortized deferred financing costs related to the term loans and the 2021 Revolving Credit Facility were $1.6 million and $0.3 million, respectively, as of December 31, 2022.</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2022 Credit Agreement contains a maximum total net leverage ratio financial covenant and a minimum fixed charge coverage ratio financial covenant, which are tested quarterly. The maximum total net leverage ratio is 3.5:1 for any fiscal quarter ending on or prior to June 30, 2024 and then decreases to 3.0:1 for any fiscal quarter ending after June 30, 2024. The minimum fixed charge coverage ratio is 1.25:1. As of December 31, 2022, the Company was in compliance with all required covenants under the 2022 Credit Agreement.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80" w:type="dxa"/>
            <w:vAlign w:val="bottom"/>
          </w:tcPr>
          <w:p>
            <w:pPr>
              <w:spacing w:after="0"/>
              <w:rPr>
                <w:sz w:val="20"/>
                <w:szCs w:val="20"/>
                <w:color w:val="auto"/>
              </w:rPr>
            </w:pPr>
            <w:r>
              <w:rPr>
                <w:rFonts w:ascii="Arial" w:cs="Arial" w:eastAsia="Arial" w:hAnsi="Arial"/>
                <w:sz w:val="18"/>
                <w:szCs w:val="18"/>
                <w:b w:val="1"/>
                <w:bCs w:val="1"/>
                <w:i w:val="1"/>
                <w:iCs w:val="1"/>
                <w:color w:val="auto"/>
              </w:rPr>
              <w:t>Principal Maturities of Debt</w:t>
            </w: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24"/>
        </w:trPr>
        <w:tc>
          <w:tcPr>
            <w:tcW w:w="9280" w:type="dxa"/>
            <w:vAlign w:val="bottom"/>
          </w:tcPr>
          <w:p>
            <w:pPr>
              <w:spacing w:after="0"/>
              <w:rPr>
                <w:sz w:val="20"/>
                <w:szCs w:val="20"/>
                <w:color w:val="auto"/>
              </w:rPr>
            </w:pPr>
            <w:r>
              <w:rPr>
                <w:rFonts w:ascii="Arial" w:cs="Arial" w:eastAsia="Arial" w:hAnsi="Arial"/>
                <w:sz w:val="18"/>
                <w:szCs w:val="18"/>
                <w:color w:val="auto"/>
              </w:rPr>
              <w:t>Principal maturities of debt outstanding as of December 31, 2022 are as follows:</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7"/>
        </w:trPr>
        <w:tc>
          <w:tcPr>
            <w:tcW w:w="9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0"/>
        </w:trPr>
        <w:tc>
          <w:tcPr>
            <w:tcW w:w="9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370"/>
              <w:spacing w:after="0"/>
              <w:rPr>
                <w:sz w:val="20"/>
                <w:szCs w:val="20"/>
                <w:color w:val="auto"/>
              </w:rPr>
            </w:pPr>
            <w:r>
              <w:rPr>
                <w:rFonts w:ascii="Arial" w:cs="Arial" w:eastAsia="Arial" w:hAnsi="Arial"/>
                <w:sz w:val="18"/>
                <w:szCs w:val="18"/>
                <w:i w:val="1"/>
                <w:iCs w:val="1"/>
                <w:color w:val="auto"/>
              </w:rPr>
              <w:t>(in thousands)</w:t>
            </w:r>
          </w:p>
        </w:tc>
      </w:tr>
      <w:tr>
        <w:trPr>
          <w:trHeight w:val="229"/>
        </w:trPr>
        <w:tc>
          <w:tcPr>
            <w:tcW w:w="928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3,750</w:t>
            </w:r>
          </w:p>
        </w:tc>
      </w:tr>
      <w:tr>
        <w:trPr>
          <w:trHeight w:val="230"/>
        </w:trPr>
        <w:tc>
          <w:tcPr>
            <w:tcW w:w="9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w:t>
            </w:r>
          </w:p>
        </w:tc>
      </w:tr>
      <w:tr>
        <w:trPr>
          <w:trHeight w:val="230"/>
        </w:trPr>
        <w:tc>
          <w:tcPr>
            <w:tcW w:w="928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9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29"/>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125,625</w:t>
            </w:r>
          </w:p>
        </w:tc>
      </w:tr>
      <w:tr>
        <w:trPr>
          <w:trHeight w:val="248"/>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149,063</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6—Contingent Consideration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the Business Combination, Open Lending, LLC unitholders and certain Nebula equity holders were entitled to additional consideration in the form of shares of the Company’s common stock to be issued when the Company’s common stock price achieved certain market share price milestones within specified periods following the Closing Date. In addition, a portion of the Nebula sponsors' shares were subject to transfer restrictions unless market share price targets were achieved within the specified period.</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Pursuant to the guidance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Contingent Consideration was classified as a Level 3 fair value measurement liability, and the increase or decrease in the fair value during the reporting period was recognized as expense or income accordingly. The fair value of the Contingent Consideration on the Closing Date and each subsequent reporting period was estimated using the Monte Carlo simulation of the stock prices based on historical and implied market volatility. The fair value of the Contingent Consideration on each vesting date (i.e., the date when each respective share price performance milestone was achieved) was based on the closing share price of the Company’s publicly traded stock on the vesting date.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Founders Shares Subject to Transfer Restrictions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Immediately following the consummation of the Business Combination, 3,437,500 shares of common stock issued and outstanding held by Nebula Holdings, LLC (“Nebula Holdings”) and its affiliates were subject to transfer restrictions (the “Lock-up Shares”). The holder of the Lock-up Shares could not sell, transfer or otherwise dispose of their respective shares until the respective lock-up provisions were achieved as described further below. The Lock-up Shares had full ownership rights including the right to vote and receive dividends and other distributions thereon, and were released from the transfer restrictions upon achieving certain market share price milestones as follows:</w:t>
      </w:r>
    </w:p>
    <w:p>
      <w:pPr>
        <w:spacing w:after="0" w:line="80" w:lineRule="exact"/>
        <w:rPr>
          <w:sz w:val="20"/>
          <w:szCs w:val="20"/>
          <w:color w:val="auto"/>
        </w:rPr>
      </w:pPr>
    </w:p>
    <w:p>
      <w:pPr>
        <w:jc w:val="both"/>
        <w:ind w:left="980" w:hanging="486"/>
        <w:spacing w:after="0" w:line="259" w:lineRule="auto"/>
        <w:tabs>
          <w:tab w:leader="none" w:pos="96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3,437,500 shares would be released from the lock-up restriction and no longer subject to forfeiture if the daily volume weighted average price (“VWAP”) of the Company’s common stock was greater than or equal to $12.00 for one-half of the Lock-up Shares and $14.00 per share for one-half of the Lock-up Shares, respectively, for 20 trading days over a 30-trading day period at any time within seven years after the Closing Date.</w:t>
      </w:r>
    </w:p>
    <w:p>
      <w:pPr>
        <w:spacing w:after="0" w:line="78" w:lineRule="exact"/>
        <w:rPr>
          <w:rFonts w:ascii="Arial" w:cs="Arial" w:eastAsia="Arial" w:hAnsi="Arial"/>
          <w:sz w:val="18"/>
          <w:szCs w:val="18"/>
          <w:color w:val="auto"/>
        </w:rPr>
      </w:pPr>
    </w:p>
    <w:p>
      <w:pPr>
        <w:ind w:left="980" w:hanging="486"/>
        <w:spacing w:after="0" w:line="277" w:lineRule="auto"/>
        <w:tabs>
          <w:tab w:leader="none" w:pos="96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Lock-up shares would be released from the lock-up restrictions on the date the Company underwent a change of control as defined in the Business Combination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Contingently Issuable Shares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Business Combination Agreement, Open Lending, LLC’s unitholders would be able to receive up to 22,500,000 shares of common stock contingent upon achieving certain market share price milestones within a period of 42 months subsequent to the Business Combination. The Company would issue 7,500,000 shares of common stock when each of the following conditions was met, respectively:</w:t>
      </w:r>
    </w:p>
    <w:p>
      <w:pPr>
        <w:spacing w:after="0" w:line="76" w:lineRule="exact"/>
        <w:rPr>
          <w:sz w:val="20"/>
          <w:szCs w:val="20"/>
          <w:color w:val="auto"/>
        </w:rPr>
      </w:pPr>
    </w:p>
    <w:p>
      <w:pPr>
        <w:ind w:left="980" w:right="20" w:hanging="486"/>
        <w:spacing w:after="0" w:line="277" w:lineRule="auto"/>
        <w:tabs>
          <w:tab w:leader="none" w:pos="9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VWAP was greater than or equal to $12.00 over any 20 trading days within any 30-trading day period prior to or as of the 24th month of the Closing Date;</w:t>
      </w:r>
    </w:p>
    <w:p>
      <w:pPr>
        <w:spacing w:after="0" w:line="62" w:lineRule="exact"/>
        <w:rPr>
          <w:rFonts w:ascii="Arial" w:cs="Arial" w:eastAsia="Arial" w:hAnsi="Arial"/>
          <w:sz w:val="18"/>
          <w:szCs w:val="18"/>
          <w:color w:val="auto"/>
        </w:rPr>
      </w:pPr>
    </w:p>
    <w:p>
      <w:pPr>
        <w:ind w:left="980" w:right="20" w:hanging="486"/>
        <w:spacing w:after="0" w:line="277" w:lineRule="auto"/>
        <w:tabs>
          <w:tab w:leader="none" w:pos="9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VWAP was greater than or equal to $14.00 over any 20 trading days within any 30-trading day period prior to or as of the 30th month of the Closing Date; and</w:t>
      </w:r>
    </w:p>
    <w:p>
      <w:pPr>
        <w:spacing w:after="0" w:line="62" w:lineRule="exact"/>
        <w:rPr>
          <w:rFonts w:ascii="Arial" w:cs="Arial" w:eastAsia="Arial" w:hAnsi="Arial"/>
          <w:sz w:val="18"/>
          <w:szCs w:val="18"/>
          <w:color w:val="auto"/>
        </w:rPr>
      </w:pPr>
    </w:p>
    <w:p>
      <w:pPr>
        <w:ind w:left="980" w:hanging="486"/>
        <w:spacing w:after="0" w:line="277" w:lineRule="auto"/>
        <w:tabs>
          <w:tab w:leader="none" w:pos="9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VWAP was greater than or equal to $16.00 over any 20 trading days within any 30-trading day period prior to or as of the 42nd month of the Closing Date.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Business Combination, certain Nebula equity holders would be able to receive up to 1,250,000 earn-out shares of common stock contingent upon achieving certain market share price milestones within a period of 30 months post Business Combination (the “Earn-out Shares”). The Company would issue 625,000 shares of common stock when each of the following conditions is met, respectively:</w:t>
      </w:r>
    </w:p>
    <w:p>
      <w:pPr>
        <w:spacing w:after="0" w:line="76" w:lineRule="exact"/>
        <w:rPr>
          <w:sz w:val="20"/>
          <w:szCs w:val="20"/>
          <w:color w:val="auto"/>
        </w:rPr>
      </w:pPr>
    </w:p>
    <w:p>
      <w:pPr>
        <w:ind w:left="980" w:right="20" w:hanging="486"/>
        <w:spacing w:after="0" w:line="277" w:lineRule="auto"/>
        <w:tabs>
          <w:tab w:leader="none" w:pos="96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VWAP was greater than or equal to $12.00 over any 20 trading days within any 30-trading day period prior to or as of the 24th month of the Closing Date; and</w:t>
      </w:r>
    </w:p>
    <w:p>
      <w:pPr>
        <w:spacing w:after="0" w:line="62" w:lineRule="exact"/>
        <w:rPr>
          <w:rFonts w:ascii="Arial" w:cs="Arial" w:eastAsia="Arial" w:hAnsi="Arial"/>
          <w:sz w:val="18"/>
          <w:szCs w:val="18"/>
          <w:color w:val="auto"/>
        </w:rPr>
      </w:pPr>
    </w:p>
    <w:p>
      <w:pPr>
        <w:ind w:left="980" w:right="20" w:hanging="486"/>
        <w:spacing w:after="0" w:line="277" w:lineRule="auto"/>
        <w:tabs>
          <w:tab w:leader="none" w:pos="96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VWAP was greater than or equal to $14.00 over any 20 trading days within any 30-trading day period prior to or as of the 30th month of the Closing Date.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Contingent Consideration and the Earn-out Shares would vest immediately in the event of a change of control as defined in the Business Combination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of Contingent Consideration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10, 2020, the daily VWAP of the Company’s common stock had been greater than $12.00 per share for 20 trading days within a 30-trading day period, which triggered the vesting of 7,500,000 Contingent Consideration shares and 625,000 Earn-out Shares. On July 15, 2020, the daily VWAP of the Company’s common stock had been greater than $14.00 per share for 20 trading days within a 30-trading day period, which triggered the vesting of an additional 7,500,000 Contingent Consideration shares and 625,000 Earn-out Shares. On August 11, 2020, the daily VWAP of the Company’s common stock had been greater than $16.00 per share for 20 trading days within a 30-trading day period, which triggered the vesting of an additional 7,500,000 Contingent Consideration shares.</w:t>
      </w:r>
    </w:p>
    <w:p>
      <w:pPr>
        <w:spacing w:after="0" w:line="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addition, upon achievement of the daily VWAP milestones of both $12.00 per share and $14.00 per share discussed above, 3,437,500 Lock-up Shares were released from the lock-up restrictions and the holders of these shares were no longer restricted from selling and/or transferring the shares.</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three months ended September 30, 2020, 27,187,500 shares of common stock were issued or released in connection with these milestone achievements. Immediately prior to each vesting, the carrying amount of the Contingent Consideration liability</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the Company’s consolidated balance sheet was marked to market, and the related change of fair value was recorded in the consolidated statements of operations. Upon vesting, the Contingent Consideration liability was reclassified to equity, the vested shares were issued and recorded as common stock at a par value of $0.01 per share, and the incremental fair value amount was recorded as additional paid-in capital.</w:t>
      </w:r>
    </w:p>
    <w:p>
      <w:pPr>
        <w:sectPr>
          <w:pgSz w:w="11900" w:h="16838" w:orient="portrait"/>
          <w:cols w:equalWidth="0" w:num="1">
            <w:col w:w="11240"/>
          </w:cols>
          <w:pgMar w:left="320" w:top="796" w:right="339" w:bottom="1440" w:gutter="0" w:footer="0" w:header="0"/>
        </w:sectPr>
      </w:pP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changes in the Contingent Consideration liability during the year ended December 31, 2020 was as follows:</w:t>
      </w: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as of June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Reclassification of shares to equity</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as of December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p>
      <w:pPr>
        <w:ind w:left="1100" w:hanging="1091"/>
        <w:spacing w:after="0"/>
        <w:tabs>
          <w:tab w:leader="none" w:pos="110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347,089</w:t>
      </w:r>
    </w:p>
    <w:p>
      <w:pPr>
        <w:spacing w:after="0" w:line="34" w:lineRule="exact"/>
        <w:rPr>
          <w:rFonts w:ascii="Arial" w:cs="Arial" w:eastAsia="Arial" w:hAnsi="Arial"/>
          <w:sz w:val="17"/>
          <w:szCs w:val="17"/>
          <w:b w:val="1"/>
          <w:bCs w:val="1"/>
          <w:color w:val="auto"/>
        </w:rPr>
      </w:pPr>
    </w:p>
    <w:p>
      <w:pPr>
        <w:ind w:left="1100"/>
        <w:spacing w:after="0"/>
        <w:rPr>
          <w:rFonts w:ascii="Arial" w:cs="Arial" w:eastAsia="Arial" w:hAnsi="Arial"/>
          <w:sz w:val="17"/>
          <w:szCs w:val="17"/>
          <w:b w:val="1"/>
          <w:bCs w:val="1"/>
          <w:color w:val="auto"/>
        </w:rPr>
      </w:pPr>
      <w:r>
        <w:rPr>
          <w:rFonts w:ascii="Arial" w:cs="Arial" w:eastAsia="Arial" w:hAnsi="Arial"/>
          <w:sz w:val="17"/>
          <w:szCs w:val="17"/>
          <w:color w:val="auto"/>
        </w:rPr>
        <w:t>131,932</w:t>
      </w:r>
    </w:p>
    <w:p>
      <w:pPr>
        <w:spacing w:after="0" w:line="34"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(479,021)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1226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34"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1226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11226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160" w:space="320"/>
            <w:col w:w="1760"/>
          </w:cols>
          <w:pgMar w:left="320" w:top="796" w:right="339" w:bottom="1440" w:gutter="0" w:footer="0" w:header="0"/>
          <w:type w:val="continuous"/>
        </w:sectPr>
      </w:pP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Upon inception, the initial estimated fair value of the Contingent Consideration on the Closing Date of $347.1 million was recorded as a long-term liability in the Company’s consolidated balance sheet. The related increase in fair value of $131.9 million during the year ended December 31, 2020 was recorded as a change in fair value of contingent consideration in the Company’s consolidated statements of operations. With the vesting of the Contingent Consideration shares during the year ended December 31, 2020, the contingent consideration liability was reclassified to equity, and accordingly approximately $0.3 million was recorded to common stock and $478.7 million was recorded to additional paid-in capital.</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 (Deficit)</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June 11, 2020, the Company’s common stock began trading on the Nasdaq under the symbol “LPRO.” Pursuant to the terms of the Amended and Restated Certificate of Incorporation, the Company was authorized to issue the following shares and classes of capital stock, each with a par value of $0.01 per share: (i) 550,000,000 shares of common stock and (ii) 10,000,000 shares of preferred stock. Immediately following the Business Combination, there were 91,849,909 shares of common stock with a par value of $0.01, and 9,166,659 warrants outstanding, herein referred to as public warrants. As discussed in </w:t>
      </w:r>
      <w:r>
        <w:rPr>
          <w:rFonts w:ascii="Arial" w:cs="Arial" w:eastAsia="Arial" w:hAnsi="Arial"/>
          <w:sz w:val="18"/>
          <w:szCs w:val="18"/>
          <w:u w:val="single" w:color="auto"/>
          <w:color w:val="0000FF"/>
        </w:rPr>
        <w:t>Note 3—Business Combination</w:t>
      </w:r>
      <w:r>
        <w:rPr>
          <w:rFonts w:ascii="Arial" w:cs="Arial" w:eastAsia="Arial" w:hAnsi="Arial"/>
          <w:sz w:val="18"/>
          <w:szCs w:val="18"/>
          <w:color w:val="auto"/>
        </w:rPr>
        <w:t>, the Company retroactively adjusted the shares issued and outstanding prior to the Closing Date to give effect to the exchange ratio established per the Business Combination Agreement and determined the number of shares of common stock into which they were converted.</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to the Business Combination, on July 1, 2020, the Company filed a Registration Statement on Form S-1 to register 52,916,659 shares of common stock for the issuance of (i) up to an aggregate of 23,750,000 shares of the Company’s common stock that may be issued as Earn-out Shares upon certain triggering events and (ii) 9,166,659 shares of the Company’s common stock that may be issued upon exercise of public warrants to purchase common stock at an exercise price of $11.50 per share of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6, 2021, the Company completed an underwritten public offering of 9,000,000 shares of the Company’s common stock at a public offering price of $34.00 per share. All shares were sold by existing stockholders, including Nebula Holdings, and its affiliates, Bregal Sagemount, and certain executive officers of the Company. The selling stockholders also granted the underwriters a 30-day option to purchase up to 1,350,000 additional shares of common stock. The Company did not issue any shares and did not receive any proceeds from the offering.</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14, 2020, the Company completed an underwritten public offering of 9,500,000 shares of the Company’s common stock at a public offering price of $28.00 per share. All shares were sold by existing stockholders, including Nebula Holdings and its affiliates, Bregal Sagemount and certain executive officers of the Company. The selling stockholders also granted the underwriters a 30-day option to purchase up to 1,425,000 additional shares of common stock. The Company did not sell any shares and did not receive any proceeds from the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Agreements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a Stock Repurchase Agreement, dated March 29, 2021, between the Company and the selling stockholders named therein, the Company repurchased from the selling stockholders, on April 6, 2021, an aggregate number of 612,745 shares of its common stock totaling $20.0 million at the same per share price paid by the underwriters to the selling stockholders in the offering. The $20.0 million stock repurchase was recorded in treasury stock at cost.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Pursuant to a Stock Repurchase Agreement, dated as of December 7, 2020, between the Company and the selling stockholders, the Company repurchased from the selling stockholders an aggregate number of 1,395,089 shares of the Company’s common stock totaling $37.5 million at the same per share price paid by the underwriters to the selling stockholders in the offering. The $37.5 million stock repurchase was recorded to treasury stock at cost.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November 17, 2022, the Board of Directors authorized the Share Repurchase Program allowing the Company to repurchase up to $75.0 million of the Company’s outstanding common stock until November 17, 2023. Repurchases may be made at management’s discretion from time to time on the open market. The Share Repurchase Program may be suspended, amended, or discontinued at any time. Pursuant to the Share Repurchase Program, the Company repurchased 2,643,306 shares at an average price of $6.80 for a total of $18.0 million. These shares were recorded to treasury stock at cost. As of December 31, 2022, the Company had $57.0 million available under the Share Repurchase Program.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conjunction with the Business Combination, Nebula obtained commitments from certain investors to purchase shares of Nebula Class A common stock, which were converted into 20,000,000 Private Investment in Public Entity (“PIPE”) shares for a purchase price of $10.00 per share. Of the 20,000,000 PIPE shares, 11,500,000 shares were held by other institutional investors and 8,500,000 shares were held by Nebula Holdings and its affiliates. On the Closing Date, the Company had 91,849,909 shares of common stock outstanding, which excluded 3,437,500 shares issued and outstanding that were subject to certain lock-up and forfeiture arrangements pursuant to a certain Founder Support Agreement, dated as of January 5, 2020 (as amended by that certain Amendment No.1, dated March 18, 2020, and that certain Amendment No.2, dated May 13, 2020).</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2020, the Company (i) issued a total of 32,910,776 shares of common stock related to the Contingent Consideration and exercised public warrants, (ii) released 3,437,500 shares of common stock from the lock-up restrictions, and (iii) repurchased 1,395,089 shares of common stock during its underwritten public offering in December 2020.</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2021, the Company repurchased 612,745 shares of common stock during its underwritten public offering in April 2021 and issued 22,525 shares of common stock, net of shares withheld for taxes, related to RSUs that vested during 2021.</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2022, the Company repurchased 2,643,306 shares of common stock and issued 76,489 shares of common stock, net of shares withheld for taxes, related to RSUs that vested during 2022. As a result of these events, the Company’s outstanding common stock was 123,646,059 shares, net of treasury shares, as of December 31, 2022.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Units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the Closing Date, all of the Company’s preferred units outstanding were converted into common stock of the Company at the exchange rate established in the Business Combination Agreement at a par value of $0.01 per share. Prior to the Closing Date, the outstanding preferred units of Open Lending, LLC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Units Issued</w:t>
            </w:r>
          </w:p>
        </w:tc>
        <w:tc>
          <w:tcPr>
            <w:tcW w:w="260" w:type="dxa"/>
            <w:vAlign w:val="bottom"/>
          </w:tcPr>
          <w:p>
            <w:pPr>
              <w:spacing w:after="0"/>
              <w:rPr>
                <w:sz w:val="14"/>
                <w:szCs w:val="14"/>
                <w:color w:val="auto"/>
              </w:rPr>
            </w:pPr>
          </w:p>
        </w:tc>
        <w:tc>
          <w:tcPr>
            <w:tcW w:w="102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96"/>
              </w:rPr>
              <w:t>Per Unit</w:t>
            </w:r>
          </w:p>
        </w:tc>
        <w:tc>
          <w:tcPr>
            <w:tcW w:w="260" w:type="dxa"/>
            <w:vAlign w:val="bottom"/>
          </w:tcPr>
          <w:p>
            <w:pPr>
              <w:spacing w:after="0"/>
              <w:rPr>
                <w:sz w:val="14"/>
                <w:szCs w:val="14"/>
                <w:color w:val="auto"/>
              </w:rPr>
            </w:pPr>
          </w:p>
        </w:tc>
        <w:tc>
          <w:tcPr>
            <w:tcW w:w="108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2"/>
              </w:rPr>
              <w:t>Aggregate</w:t>
            </w:r>
          </w:p>
        </w:tc>
        <w:tc>
          <w:tcPr>
            <w:tcW w:w="240" w:type="dxa"/>
            <w:vAlign w:val="bottom"/>
          </w:tcPr>
          <w:p>
            <w:pPr>
              <w:spacing w:after="0"/>
              <w:rPr>
                <w:sz w:val="14"/>
                <w:szCs w:val="14"/>
                <w:color w:val="auto"/>
              </w:rPr>
            </w:pPr>
          </w:p>
        </w:tc>
        <w:tc>
          <w:tcPr>
            <w:tcW w:w="980" w:type="dxa"/>
            <w:vAlign w:val="bottom"/>
          </w:tcPr>
          <w:p>
            <w:pPr>
              <w:jc w:val="center"/>
              <w:ind w:right="60"/>
              <w:spacing w:after="0"/>
              <w:rPr>
                <w:sz w:val="20"/>
                <w:szCs w:val="20"/>
                <w:color w:val="auto"/>
              </w:rPr>
            </w:pPr>
            <w:r>
              <w:rPr>
                <w:rFonts w:ascii="Arial" w:cs="Arial" w:eastAsia="Arial" w:hAnsi="Arial"/>
                <w:sz w:val="14"/>
                <w:szCs w:val="14"/>
                <w:b w:val="1"/>
                <w:bCs w:val="1"/>
                <w:color w:val="auto"/>
                <w:w w:val="96"/>
              </w:rPr>
              <w:t>Per Unit</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Units</w:t>
            </w:r>
          </w:p>
        </w:tc>
        <w:tc>
          <w:tcPr>
            <w:tcW w:w="15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Series</w:t>
            </w:r>
          </w:p>
        </w:tc>
        <w:tc>
          <w:tcPr>
            <w:tcW w:w="1500" w:type="dxa"/>
            <w:vAlign w:val="bottom"/>
            <w:gridSpan w:val="2"/>
            <w:vMerge w:val="continue"/>
          </w:tcPr>
          <w:p>
            <w:pPr>
              <w:spacing w:after="0"/>
              <w:rPr>
                <w:sz w:val="12"/>
                <w:szCs w:val="12"/>
                <w:color w:val="auto"/>
              </w:rPr>
            </w:pPr>
          </w:p>
        </w:tc>
        <w:tc>
          <w:tcPr>
            <w:tcW w:w="15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and</w:t>
            </w:r>
          </w:p>
        </w:tc>
        <w:tc>
          <w:tcPr>
            <w:tcW w:w="260" w:type="dxa"/>
            <w:vAlign w:val="bottom"/>
          </w:tcPr>
          <w:p>
            <w:pPr>
              <w:spacing w:after="0"/>
              <w:rPr>
                <w:sz w:val="12"/>
                <w:szCs w:val="12"/>
                <w:color w:val="auto"/>
              </w:rPr>
            </w:pPr>
          </w:p>
        </w:tc>
        <w:tc>
          <w:tcPr>
            <w:tcW w:w="1020" w:type="dxa"/>
            <w:vAlign w:val="bottom"/>
          </w:tcPr>
          <w:p>
            <w:pPr>
              <w:jc w:val="center"/>
              <w:ind w:right="99"/>
              <w:spacing w:after="0" w:line="145" w:lineRule="exact"/>
              <w:rPr>
                <w:sz w:val="20"/>
                <w:szCs w:val="20"/>
                <w:color w:val="auto"/>
              </w:rPr>
            </w:pPr>
            <w:r>
              <w:rPr>
                <w:rFonts w:ascii="Arial" w:cs="Arial" w:eastAsia="Arial" w:hAnsi="Arial"/>
                <w:sz w:val="14"/>
                <w:szCs w:val="14"/>
                <w:b w:val="1"/>
                <w:bCs w:val="1"/>
                <w:color w:val="auto"/>
                <w:w w:val="95"/>
              </w:rPr>
              <w:t>Liquidation</w:t>
            </w:r>
          </w:p>
        </w:tc>
        <w:tc>
          <w:tcPr>
            <w:tcW w:w="260" w:type="dxa"/>
            <w:vAlign w:val="bottom"/>
          </w:tcPr>
          <w:p>
            <w:pPr>
              <w:spacing w:after="0"/>
              <w:rPr>
                <w:sz w:val="12"/>
                <w:szCs w:val="12"/>
                <w:color w:val="auto"/>
              </w:rPr>
            </w:pPr>
          </w:p>
        </w:tc>
        <w:tc>
          <w:tcPr>
            <w:tcW w:w="1080" w:type="dxa"/>
            <w:vAlign w:val="bottom"/>
          </w:tcPr>
          <w:p>
            <w:pPr>
              <w:jc w:val="center"/>
              <w:ind w:right="119"/>
              <w:spacing w:after="0" w:line="145" w:lineRule="exact"/>
              <w:rPr>
                <w:sz w:val="20"/>
                <w:szCs w:val="20"/>
                <w:color w:val="auto"/>
              </w:rPr>
            </w:pPr>
            <w:r>
              <w:rPr>
                <w:rFonts w:ascii="Arial" w:cs="Arial" w:eastAsia="Arial" w:hAnsi="Arial"/>
                <w:sz w:val="14"/>
                <w:szCs w:val="14"/>
                <w:b w:val="1"/>
                <w:bCs w:val="1"/>
                <w:color w:val="auto"/>
                <w:w w:val="95"/>
              </w:rPr>
              <w:t>Liquidation</w:t>
            </w:r>
          </w:p>
        </w:tc>
        <w:tc>
          <w:tcPr>
            <w:tcW w:w="240" w:type="dxa"/>
            <w:vAlign w:val="bottom"/>
          </w:tcPr>
          <w:p>
            <w:pPr>
              <w:spacing w:after="0"/>
              <w:rPr>
                <w:sz w:val="12"/>
                <w:szCs w:val="12"/>
                <w:color w:val="auto"/>
              </w:rPr>
            </w:pPr>
          </w:p>
        </w:tc>
        <w:tc>
          <w:tcPr>
            <w:tcW w:w="980" w:type="dxa"/>
            <w:vAlign w:val="bottom"/>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Authorized</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Arial" w:cs="Arial" w:eastAsia="Arial" w:hAnsi="Arial"/>
                <w:sz w:val="14"/>
                <w:szCs w:val="14"/>
                <w:b w:val="1"/>
                <w:bCs w:val="1"/>
                <w:color w:val="auto"/>
                <w:w w:val="88"/>
              </w:rPr>
              <w:t>Preference</w:t>
            </w:r>
          </w:p>
        </w:tc>
        <w:tc>
          <w:tcPr>
            <w:tcW w:w="260" w:type="dxa"/>
            <w:vAlign w:val="bottom"/>
          </w:tcPr>
          <w:p>
            <w:pPr>
              <w:spacing w:after="0"/>
              <w:rPr>
                <w:sz w:val="17"/>
                <w:szCs w:val="17"/>
                <w:color w:val="auto"/>
              </w:rPr>
            </w:pPr>
          </w:p>
        </w:tc>
        <w:tc>
          <w:tcPr>
            <w:tcW w:w="108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Preference</w:t>
            </w:r>
          </w:p>
        </w:tc>
        <w:tc>
          <w:tcPr>
            <w:tcW w:w="240" w:type="dxa"/>
            <w:vAlign w:val="bottom"/>
          </w:tcPr>
          <w:p>
            <w:pPr>
              <w:spacing w:after="0"/>
              <w:rPr>
                <w:sz w:val="17"/>
                <w:szCs w:val="17"/>
                <w:color w:val="auto"/>
              </w:rPr>
            </w:pPr>
          </w:p>
        </w:tc>
        <w:tc>
          <w:tcPr>
            <w:tcW w:w="98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82"/>
        </w:trPr>
        <w:tc>
          <w:tcPr>
            <w:tcW w:w="37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120" w:type="dxa"/>
            <w:vAlign w:val="bottom"/>
            <w:tcBorders>
              <w:top w:val="single" w:sz="8" w:color="auto"/>
            </w:tcBorders>
            <w:gridSpan w:val="5"/>
          </w:tcPr>
          <w:p>
            <w:pPr>
              <w:jc w:val="right"/>
              <w:ind w:right="779"/>
              <w:spacing w:after="0"/>
              <w:rPr>
                <w:sz w:val="20"/>
                <w:szCs w:val="20"/>
                <w:color w:val="auto"/>
              </w:rPr>
            </w:pPr>
            <w:r>
              <w:rPr>
                <w:rFonts w:ascii="Arial" w:cs="Arial" w:eastAsia="Arial" w:hAnsi="Arial"/>
                <w:sz w:val="14"/>
                <w:szCs w:val="14"/>
                <w:i w:val="1"/>
                <w:iCs w:val="1"/>
                <w:color w:val="auto"/>
              </w:rPr>
              <w:t>($ in thousands, except unit and per unit data)</w:t>
            </w: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Non-redeemable preferred units</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A</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9,941,227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9,941,227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4,971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Non-redeemable preferred units</w:t>
            </w:r>
          </w:p>
        </w:tc>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w:t>
            </w:r>
          </w:p>
        </w:tc>
        <w:tc>
          <w:tcPr>
            <w:tcW w:w="1380" w:type="dxa"/>
            <w:vAlign w:val="bottom"/>
          </w:tcPr>
          <w:p>
            <w:pPr>
              <w:jc w:val="right"/>
              <w:spacing w:after="0"/>
              <w:rPr>
                <w:sz w:val="20"/>
                <w:szCs w:val="20"/>
                <w:color w:val="auto"/>
              </w:rPr>
            </w:pPr>
            <w:r>
              <w:rPr>
                <w:rFonts w:ascii="Arial" w:cs="Arial" w:eastAsia="Arial" w:hAnsi="Arial"/>
                <w:sz w:val="18"/>
                <w:szCs w:val="18"/>
                <w:color w:val="auto"/>
              </w:rPr>
              <w:t>19,117,039</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19,117,039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0.50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9,559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preferred units</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C</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21,906,852</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21,906,852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1.83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40,090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50,965,118</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50,965,118</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3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ind w:left="1060"/>
              <w:spacing w:after="0"/>
              <w:rPr>
                <w:sz w:val="20"/>
                <w:szCs w:val="20"/>
                <w:color w:val="auto"/>
              </w:rPr>
            </w:pPr>
            <w:r>
              <w:rPr>
                <w:rFonts w:ascii="Arial" w:cs="Arial" w:eastAsia="Arial" w:hAnsi="Arial"/>
                <w:sz w:val="18"/>
                <w:szCs w:val="18"/>
                <w:color w:val="auto"/>
              </w:rPr>
              <w:t>F-21</w:t>
            </w: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number of preferred units presented on the Company’s consolidated balance sheets and consolidated statements of changes in stockholders’ equity (deficit) as of December 31, 2019 was retroactively restated to reflect conversion to the Company’s common stock as a result of the Business Combination. The rights, preferences and privileges of both the redeemable and non-redeemable preferred units were as follows: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Voting Rights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holder of the Company’s preferred unit was entitled to the number of votes equal to the number of common units into which each preferred unit is convertible.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Non-Liquidation Distribution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holders of preferred units were entitled to receive distributions deemed payable when and if declared by the Company’s Board of Directors. The holders of Series C preferred units were entitled to receive distributions prior and in preference, to any payment of any distribution to other preferred units and common units. Specifically, the holders of Series C preferred units were entitled to receive a preferred return equal to 2.5% per annum, accruing daily, on the Series C Contribution Amount, until such time as the holders of Series C preferred units receive the related preferred return distributions totaling an aggregate of $100.0 million. Distributions declared in excess of the Preferred Return for Series C preferred units would be distributed among the holder of preferred units and common units pro rata on an as-converted basis (including the Series C preferred units). The distributions declared and paid by the Board of Directors to the preferred unitholders in 2020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4"/>
          </w:tcPr>
          <w:p>
            <w:pPr>
              <w:ind w:left="420"/>
              <w:spacing w:after="0"/>
              <w:rPr>
                <w:sz w:val="20"/>
                <w:szCs w:val="20"/>
                <w:color w:val="auto"/>
              </w:rPr>
            </w:pPr>
            <w:r>
              <w:rPr>
                <w:rFonts w:ascii="Arial" w:cs="Arial" w:eastAsia="Arial" w:hAnsi="Arial"/>
                <w:sz w:val="18"/>
                <w:szCs w:val="18"/>
                <w:b w:val="1"/>
                <w:bCs w:val="1"/>
                <w:color w:val="auto"/>
              </w:rPr>
              <w:t>Non-Redeemable</w:t>
            </w:r>
          </w:p>
        </w:tc>
        <w:tc>
          <w:tcPr>
            <w:tcW w:w="160" w:type="dxa"/>
            <w:vAlign w:val="bottom"/>
          </w:tcPr>
          <w:p>
            <w:pPr>
              <w:spacing w:after="0"/>
              <w:rPr>
                <w:sz w:val="17"/>
                <w:szCs w:val="17"/>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Redeemable</w:t>
            </w:r>
          </w:p>
        </w:tc>
      </w:tr>
      <w:tr>
        <w:trPr>
          <w:trHeight w:val="237"/>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4"/>
          </w:tcPr>
          <w:p>
            <w:pPr>
              <w:ind w:left="480"/>
              <w:spacing w:after="0"/>
              <w:rPr>
                <w:sz w:val="20"/>
                <w:szCs w:val="20"/>
                <w:color w:val="auto"/>
              </w:rPr>
            </w:pPr>
            <w:r>
              <w:rPr>
                <w:rFonts w:ascii="Arial" w:cs="Arial" w:eastAsia="Arial" w:hAnsi="Arial"/>
                <w:sz w:val="18"/>
                <w:szCs w:val="18"/>
                <w:b w:val="1"/>
                <w:bCs w:val="1"/>
                <w:color w:val="auto"/>
              </w:rPr>
              <w:t>Preferred Units</w:t>
            </w:r>
          </w:p>
        </w:tc>
        <w:tc>
          <w:tcPr>
            <w:tcW w:w="16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Preferred Units</w:t>
            </w:r>
          </w:p>
        </w:tc>
      </w:tr>
      <w:tr>
        <w:trPr>
          <w:trHeight w:val="189"/>
        </w:trPr>
        <w:tc>
          <w:tcPr>
            <w:tcW w:w="20" w:type="dxa"/>
            <w:vAlign w:val="bottom"/>
          </w:tcPr>
          <w:p>
            <w:pPr>
              <w:spacing w:after="0"/>
              <w:rPr>
                <w:sz w:val="16"/>
                <w:szCs w:val="16"/>
                <w:color w:val="auto"/>
              </w:rPr>
            </w:pPr>
          </w:p>
        </w:tc>
        <w:tc>
          <w:tcPr>
            <w:tcW w:w="6920" w:type="dxa"/>
            <w:vAlign w:val="bottom"/>
            <w:gridSpan w:val="2"/>
          </w:tcPr>
          <w:p>
            <w:pPr>
              <w:spacing w:after="0" w:line="189" w:lineRule="exact"/>
              <w:rPr>
                <w:sz w:val="20"/>
                <w:szCs w:val="20"/>
                <w:color w:val="auto"/>
              </w:rPr>
            </w:pPr>
            <w:r>
              <w:rPr>
                <w:rFonts w:ascii="Arial" w:cs="Arial" w:eastAsia="Arial" w:hAnsi="Arial"/>
                <w:sz w:val="18"/>
                <w:szCs w:val="18"/>
                <w:i w:val="1"/>
                <w:iCs w:val="1"/>
                <w:color w:val="auto"/>
              </w:rPr>
              <w:t>Distributions</w:t>
            </w: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100"/>
              <w:spacing w:after="0" w:line="189" w:lineRule="exact"/>
              <w:rPr>
                <w:sz w:val="20"/>
                <w:szCs w:val="20"/>
                <w:color w:val="auto"/>
              </w:rPr>
            </w:pPr>
            <w:r>
              <w:rPr>
                <w:rFonts w:ascii="Arial" w:cs="Arial" w:eastAsia="Arial" w:hAnsi="Arial"/>
                <w:sz w:val="18"/>
                <w:szCs w:val="18"/>
                <w:b w:val="1"/>
                <w:bCs w:val="1"/>
                <w:color w:val="auto"/>
              </w:rPr>
              <w:t>Series A</w:t>
            </w: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10"/>
              <w:spacing w:after="0" w:line="189" w:lineRule="exact"/>
              <w:rPr>
                <w:sz w:val="20"/>
                <w:szCs w:val="20"/>
                <w:color w:val="auto"/>
              </w:rPr>
            </w:pPr>
            <w:r>
              <w:rPr>
                <w:rFonts w:ascii="Arial" w:cs="Arial" w:eastAsia="Arial" w:hAnsi="Arial"/>
                <w:sz w:val="18"/>
                <w:szCs w:val="18"/>
                <w:b w:val="1"/>
                <w:bCs w:val="1"/>
                <w:color w:val="auto"/>
                <w:w w:val="99"/>
              </w:rPr>
              <w:t>Series B</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ind w:right="70"/>
              <w:spacing w:after="0" w:line="189" w:lineRule="exact"/>
              <w:rPr>
                <w:sz w:val="20"/>
                <w:szCs w:val="20"/>
                <w:color w:val="auto"/>
              </w:rPr>
            </w:pPr>
            <w:r>
              <w:rPr>
                <w:rFonts w:ascii="Arial" w:cs="Arial" w:eastAsia="Arial" w:hAnsi="Arial"/>
                <w:sz w:val="18"/>
                <w:szCs w:val="18"/>
                <w:b w:val="1"/>
                <w:bCs w:val="1"/>
                <w:color w:val="auto"/>
                <w:w w:val="88"/>
              </w:rPr>
              <w:t>Series C</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
              <w:spacing w:after="0"/>
              <w:rPr>
                <w:sz w:val="20"/>
                <w:szCs w:val="20"/>
                <w:color w:val="auto"/>
              </w:rPr>
            </w:pPr>
            <w:r>
              <w:rPr>
                <w:rFonts w:ascii="Arial" w:cs="Arial" w:eastAsia="Arial" w:hAnsi="Arial"/>
                <w:sz w:val="18"/>
                <w:szCs w:val="18"/>
                <w:i w:val="1"/>
                <w:iCs w:val="1"/>
                <w:color w:val="auto"/>
                <w:w w:val="91"/>
              </w:rPr>
              <w:t>(in thousands)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For the year ended December 31, 2020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460"/>
              <w:spacing w:after="0"/>
              <w:rPr>
                <w:sz w:val="20"/>
                <w:szCs w:val="20"/>
                <w:color w:val="auto"/>
              </w:rPr>
            </w:pPr>
            <w:r>
              <w:rPr>
                <w:rFonts w:ascii="Arial" w:cs="Arial" w:eastAsia="Arial" w:hAnsi="Arial"/>
                <w:sz w:val="18"/>
                <w:szCs w:val="18"/>
                <w:color w:val="auto"/>
              </w:rPr>
              <w:t>18,098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34,802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40,689</w:t>
            </w: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Conversion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preferred unit was convertible, at the option of the holder, according to a conversion ratio, which was subject to adjustment for dilutive unit issuance. The total number of common units into which the preferred units could be converted was determined by dividing the initial conversion price by the then-applicable conversion price, as shown in the table above. Preferred Units could not be reissued upon conversion to common units. Open Lending, LLC had reserved sufficient common units for issuance upon conversion of preferred units.</w:t>
      </w:r>
    </w:p>
    <w:p>
      <w:pPr>
        <w:spacing w:after="0" w:line="7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Series A and Series B Preferred Units would automatically convert to common units if (i) at any time Open Lending, LLC effected an underwritten public offering, or (ii) on the date upon which 80% of the respective Series A or Series B Preferred Units had been converted to Common Units.</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Series C preferred units automatically converted into common units at the then-applicable conversion price any time (i) Open Lending, LLC effected an initial public offering with aggregate proceeds of no less than $75.0 million and the price paid by public was no less than $4.56 per unit, or (ii) upon the written election of a Series C preferred units majority.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Redemption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the election of a Series C preferred units majority, as defined, each of the Series C preferred unit was subject to redemption at a price per unit equal to the greater of (a) the Series C liquidation preference payment and (b) the fair market value of the Class A Common Units into which such Series C preferred units was convertible, at any time between June 23, 2020 and December 15, 2021. Series A and Series B preferred units were not redeemable by the Company or the holders. The Series C preferred units were classified as temporary equity outside of the Company’s permanent equity due to their redemption feature. During the year ended December 31, 2020, the redemption rights were removed from the Series C preferred units upon conversion to the Company’s Class A common stock as a result of the Business Combination on the Closing Date, and as such, the Company no longer has any outstanding convertible preferred stock on its balance sheets.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Closing Date, there were 9,166,659 outstanding public warrants to purchase shares of the Company’s common stock that were issued by Nebula with other consideration prior to the Business Combination. The public warrants were set to expire on June 10, 2025 or earlier upon redemption or liquidation.</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whole warrant entitled the holder to purchase one whole share of the Company’s common stock at a price of $11.50 per share, subject to adjustments. The public warrants were exercisable 30 days after the completion of the Business Combination. Once the public warrants became exercisable, the Company had the right to redeem the outstanding public warrants in whole and not in part at a price of $0.01 per warrant (the “Redemption Price”) upon a minimum of 30 days’ prior written notice of redemption, if and only if the last sale price of the Company’s common stock matched or exceeded $18.00 per share for any 20 trading days within a 30-trading day period ending on the third trading day prior to the date on which the Company sent the notice of redemption to the warrant holders (“Redemption Right”).</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11, 2020, the Company provided notice of redemption that all public warrants may be exercised by the holders thereof until October 13, 2020 (the “Redemption Date”). Any public warrants that remained unexercised on October 13, 2020 would no longer be exercisable and would be redeemed by the Company at the Redemption Price.</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2020, 9,160,776 public warrants were exercised by the holders, from which the Company received $105.3 million in cash proceeds.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decision to declare and pay dividends in the future will be made at the sole discretion of the Company’s Board of Directors and will depend on, among other things, results of operations, cash requirements, financial condition, contractual restrictions and other factors that the Company’s Board of Directors may deem relevant. In addition, the Company’s ability to pay dividends will be limited by covenants in its existing indebtedness and may be limited by the agreements governing other indebtedness that it or its subsidiaries incur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Unit Incentive Plan (the “Class B Plan”)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Prior to the Business Combination, commencing in 2013, the Board of Managers of Open Lending, LLC (the “Board of Managers”) approved the Class B Plan, which was a form of long-term compensation that provided for the issuance of ownership shares to service providers for purpose of retaining them and enabling such individuals to participate in the long-term growth and financial success of Open Lending, LLC. As a result of the Business Combination, the Board of Managers approved an acceleration of the awards granted in connection with the Class B Plan, to allow accelerated vesting of the units at the consummation of the Business Combination. On the Closing Date, these Class B common units were converted into shares of Company’s common stock utilizing the exchange ratio established in the Business Combination Agreement, and the related accelerated vesting of 571,983 awards resulted in $2.2 million of non-cash share-based compensation expense recorded to general and administrative expense during the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Stock Option and Incentive Plan (the “2020 Plan”)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2020 Plan, approved by Nebula’s stockholders on June 9, 2020, provides for the grant of stock options, stock appreciation rights, restricted stock units and other stock or cash-based awards. The Company initially reserved 9,693,750 shares, approximately 10% the number of shares of its common stock outstanding upon the Closing Date, as the initial limit for the issuance of awards under the 2020 Plan. The 2020 Plan provides that effective January 1, 2021, the number of shares reserved and available for issuance under the plan automatically increases on January 1 of each year by 4% of the outstanding number of shares of the Company’s common stock on December 31 of the immediately preceding year. The total reserved shares are subject to an adjustment in the event of a stock split, stock dividend or other change in the Company’s capitalization. As of December 31, 2022, the shares available for issuance under the 2020 Plan were 17,328,581 shares, which includes the 4% annual increase in 2022 less RSUs, PSUs and stock options granted under the 2020 Plan.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color w:val="auto"/>
                <w:w w:val="93"/>
              </w:rPr>
              <w:t>Share-based compensation expense recorded for each type of award is as follows:</w:t>
            </w: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64"/>
        </w:trPr>
        <w:tc>
          <w:tcPr>
            <w:tcW w:w="61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center"/>
              <w:ind w:right="170"/>
              <w:spacing w:after="0"/>
              <w:rPr>
                <w:sz w:val="20"/>
                <w:szCs w:val="20"/>
                <w:color w:val="auto"/>
              </w:rPr>
            </w:pPr>
            <w:r>
              <w:rPr>
                <w:rFonts w:ascii="Arial" w:cs="Arial" w:eastAsia="Arial" w:hAnsi="Arial"/>
                <w:sz w:val="18"/>
                <w:szCs w:val="18"/>
                <w:b w:val="1"/>
                <w:bCs w:val="1"/>
                <w:color w:val="auto"/>
                <w:w w:val="90"/>
              </w:rPr>
              <w:t>Year Ended December 31,</w:t>
            </w:r>
          </w:p>
        </w:tc>
        <w:tc>
          <w:tcPr>
            <w:tcW w:w="1260" w:type="dxa"/>
            <w:vAlign w:val="bottom"/>
            <w:tcBorders>
              <w:bottom w:val="single" w:sz="8" w:color="auto"/>
            </w:tcBorders>
          </w:tcPr>
          <w:p>
            <w:pPr>
              <w:spacing w:after="0"/>
              <w:rPr>
                <w:sz w:val="24"/>
                <w:szCs w:val="24"/>
                <w:color w:val="auto"/>
              </w:rPr>
            </w:pPr>
          </w:p>
        </w:tc>
      </w:tr>
      <w:tr>
        <w:trPr>
          <w:trHeight w:val="223"/>
        </w:trPr>
        <w:tc>
          <w:tcPr>
            <w:tcW w:w="61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6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i w:val="1"/>
                <w:iCs w:val="1"/>
                <w:color w:val="auto"/>
                <w:w w:val="91"/>
              </w:rPr>
              <w:t>(in thousands)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restricted stock units</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w:t>
            </w:r>
          </w:p>
        </w:tc>
        <w:tc>
          <w:tcPr>
            <w:tcW w:w="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Performance-based restricted stock units</w:t>
            </w:r>
          </w:p>
        </w:tc>
        <w:tc>
          <w:tcPr>
            <w:tcW w:w="10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Class B common units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2,675</w:t>
            </w:r>
          </w:p>
        </w:tc>
      </w:tr>
      <w:tr>
        <w:trPr>
          <w:trHeight w:val="248"/>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share-based compensation expense</w:t>
            </w: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5,449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2,828</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performance-based restricted units, the Company evaluates the probability of achieving performance goals on a quarterly basis and recognizes share-based compensation to the extent achievement of performance goals is considered probable. During the year ended December 31, 2022, the Company determined certain performance goals were improbable of being achieved and recorded a reduction to its share-based compensation expense of approximately $1.0 million, which represents a change in estimate related to share-based compensation expense reported in prior periods.</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years ended December 31, 2022, 2021 and 2020, share-based compensation expense was allocated to cost of services, general and administrative, selling and marketing, and research and development, generally based on the functional responsibilities of the awarded unitholders in the accompanying consolidated statements of operations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center"/>
              <w:ind w:right="170"/>
              <w:spacing w:after="0"/>
              <w:rPr>
                <w:sz w:val="20"/>
                <w:szCs w:val="20"/>
                <w:color w:val="auto"/>
              </w:rPr>
            </w:pPr>
            <w:r>
              <w:rPr>
                <w:rFonts w:ascii="Arial" w:cs="Arial" w:eastAsia="Arial" w:hAnsi="Arial"/>
                <w:sz w:val="18"/>
                <w:szCs w:val="18"/>
                <w:b w:val="1"/>
                <w:bCs w:val="1"/>
                <w:color w:val="auto"/>
                <w:w w:val="90"/>
              </w:rPr>
              <w:t>Year Ended December 31,</w:t>
            </w:r>
          </w:p>
        </w:tc>
        <w:tc>
          <w:tcPr>
            <w:tcW w:w="1260" w:type="dxa"/>
            <w:vAlign w:val="bottom"/>
            <w:tcBorders>
              <w:bottom w:val="single" w:sz="8" w:color="auto"/>
            </w:tcBorders>
          </w:tcPr>
          <w:p>
            <w:pPr>
              <w:spacing w:after="0"/>
              <w:rPr>
                <w:sz w:val="20"/>
                <w:szCs w:val="20"/>
                <w:color w:val="auto"/>
              </w:rPr>
            </w:pPr>
          </w:p>
        </w:tc>
      </w:tr>
      <w:tr>
        <w:trPr>
          <w:trHeight w:val="223"/>
        </w:trPr>
        <w:tc>
          <w:tcPr>
            <w:tcW w:w="61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6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i w:val="1"/>
                <w:iCs w:val="1"/>
                <w:color w:val="auto"/>
                <w:w w:val="91"/>
              </w:rPr>
              <w:t>(in thousands)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5,449</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2,828</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Restricted Stock Units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RSUs represent the right to receive shares of common stock at the end of the vesting period in an amount equal to the number of RSUs that vest. RSUs are subject to restrictions on transfer and are generally subject to a risk of forfeiture if the award recipient ceases providing services to the Company prior to the lapse of the restriction. The fair value used to calculate share-based compensation expense of such RSUs is determined using the closing price on the date of grant applied to the total number of shares that were anticipated to fully vest based on schedules as set forth in the respective award agreements, generally over four years.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The following table summarizes the RSU activity for the year end December 31, 2022:</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8100" w:type="dxa"/>
            <w:vAlign w:val="bottom"/>
          </w:tcPr>
          <w:p>
            <w:pPr>
              <w:spacing w:after="0"/>
              <w:rPr>
                <w:sz w:val="24"/>
                <w:szCs w:val="24"/>
                <w:color w:val="auto"/>
              </w:rPr>
            </w:pPr>
          </w:p>
        </w:tc>
        <w:tc>
          <w:tcPr>
            <w:tcW w:w="3140" w:type="dxa"/>
            <w:vAlign w:val="bottom"/>
            <w:gridSpan w:val="4"/>
          </w:tcPr>
          <w:p>
            <w:pPr>
              <w:jc w:val="right"/>
              <w:ind w:right="1030"/>
              <w:spacing w:after="0"/>
              <w:rPr>
                <w:sz w:val="20"/>
                <w:szCs w:val="20"/>
                <w:color w:val="auto"/>
              </w:rPr>
            </w:pPr>
            <w:r>
              <w:rPr>
                <w:rFonts w:ascii="Arial" w:cs="Arial" w:eastAsia="Arial" w:hAnsi="Arial"/>
                <w:sz w:val="18"/>
                <w:szCs w:val="18"/>
                <w:b w:val="1"/>
                <w:bCs w:val="1"/>
                <w:color w:val="auto"/>
              </w:rPr>
              <w:t>Time-Based</w:t>
            </w:r>
          </w:p>
        </w:tc>
        <w:tc>
          <w:tcPr>
            <w:tcW w:w="0" w:type="dxa"/>
            <w:vAlign w:val="bottom"/>
          </w:tcPr>
          <w:p>
            <w:pPr>
              <w:spacing w:after="0"/>
              <w:rPr>
                <w:sz w:val="1"/>
                <w:szCs w:val="1"/>
                <w:color w:val="auto"/>
              </w:rPr>
            </w:pPr>
          </w:p>
        </w:tc>
      </w:tr>
      <w:tr>
        <w:trPr>
          <w:trHeight w:val="234"/>
        </w:trPr>
        <w:tc>
          <w:tcPr>
            <w:tcW w:w="8100" w:type="dxa"/>
            <w:vAlign w:val="bottom"/>
          </w:tcPr>
          <w:p>
            <w:pPr>
              <w:spacing w:after="0"/>
              <w:rPr>
                <w:sz w:val="20"/>
                <w:szCs w:val="20"/>
                <w:color w:val="auto"/>
              </w:rPr>
            </w:pPr>
          </w:p>
        </w:tc>
        <w:tc>
          <w:tcPr>
            <w:tcW w:w="314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Restricted Stock Units</w:t>
            </w:r>
          </w:p>
        </w:tc>
        <w:tc>
          <w:tcPr>
            <w:tcW w:w="0" w:type="dxa"/>
            <w:vAlign w:val="bottom"/>
          </w:tcPr>
          <w:p>
            <w:pPr>
              <w:spacing w:after="0"/>
              <w:rPr>
                <w:sz w:val="1"/>
                <w:szCs w:val="1"/>
                <w:color w:val="auto"/>
              </w:rPr>
            </w:pPr>
          </w:p>
        </w:tc>
      </w:tr>
      <w:tr>
        <w:trPr>
          <w:trHeight w:val="178"/>
        </w:trPr>
        <w:tc>
          <w:tcPr>
            <w:tcW w:w="8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80"/>
        </w:trPr>
        <w:tc>
          <w:tcPr>
            <w:tcW w:w="810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2"/>
              </w:rPr>
              <w:t>Number of Awards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93"/>
              </w:rPr>
              <w:t>Fair Value at</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as of December 31,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231,625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35.17</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1,964,211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as of December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2,023,383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11.52</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total fair value of the RSUs that vested during the years ended December 31, 2022 and 2021 was $0.9 million and $1.1 million, respectively.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PSUs were granted with a three-year performance period. The terms and conditions of the PSUs allow for vesting of the awards ranging between forfeiture and 100% of target. PSUs represent the right to receive shares of common stock at the end of the vesting period in an amount equal to the number of PSUs that vest. PSUs are subject to restrictions on transfer and are generally subject to a risk of forfeiture if the award recipient ceases providing services to the Company prior to the lapse of the restriction.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The following table summarizes the PSU activity for the year ended December 31, 2022:</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10"/>
        </w:trPr>
        <w:tc>
          <w:tcPr>
            <w:tcW w:w="8100" w:type="dxa"/>
            <w:vAlign w:val="bottom"/>
          </w:tcPr>
          <w:p>
            <w:pPr>
              <w:spacing w:after="0"/>
              <w:rPr>
                <w:sz w:val="24"/>
                <w:szCs w:val="24"/>
                <w:color w:val="auto"/>
              </w:rPr>
            </w:pPr>
          </w:p>
        </w:tc>
        <w:tc>
          <w:tcPr>
            <w:tcW w:w="31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Performance-Based</w:t>
            </w:r>
          </w:p>
        </w:tc>
      </w:tr>
      <w:tr>
        <w:trPr>
          <w:trHeight w:val="239"/>
        </w:trPr>
        <w:tc>
          <w:tcPr>
            <w:tcW w:w="8100" w:type="dxa"/>
            <w:vAlign w:val="bottom"/>
          </w:tcPr>
          <w:p>
            <w:pPr>
              <w:spacing w:after="0"/>
              <w:rPr>
                <w:sz w:val="20"/>
                <w:szCs w:val="20"/>
                <w:color w:val="auto"/>
              </w:rPr>
            </w:pPr>
          </w:p>
        </w:tc>
        <w:tc>
          <w:tcPr>
            <w:tcW w:w="314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Restricted Stock Units</w:t>
            </w:r>
          </w:p>
        </w:tc>
      </w:tr>
      <w:tr>
        <w:trPr>
          <w:trHeight w:val="173"/>
        </w:trPr>
        <w:tc>
          <w:tcPr>
            <w:tcW w:w="8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spacing w:after="0" w:line="173" w:lineRule="exact"/>
              <w:rPr>
                <w:sz w:val="20"/>
                <w:szCs w:val="20"/>
                <w:color w:val="auto"/>
              </w:rPr>
            </w:pPr>
            <w:r>
              <w:rPr>
                <w:rFonts w:ascii="Arial" w:cs="Arial" w:eastAsia="Arial" w:hAnsi="Arial"/>
                <w:sz w:val="18"/>
                <w:szCs w:val="18"/>
                <w:b w:val="1"/>
                <w:bCs w:val="1"/>
                <w:color w:val="auto"/>
                <w:w w:val="89"/>
              </w:rPr>
              <w:t>Weighted Average</w:t>
            </w:r>
          </w:p>
        </w:tc>
      </w:tr>
      <w:tr>
        <w:trPr>
          <w:trHeight w:val="184"/>
        </w:trPr>
        <w:tc>
          <w:tcPr>
            <w:tcW w:w="8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center"/>
              <w:ind w:right="90"/>
              <w:spacing w:after="0" w:line="184" w:lineRule="exact"/>
              <w:rPr>
                <w:sz w:val="20"/>
                <w:szCs w:val="20"/>
                <w:color w:val="auto"/>
              </w:rPr>
            </w:pPr>
            <w:r>
              <w:rPr>
                <w:rFonts w:ascii="Arial" w:cs="Arial" w:eastAsia="Arial" w:hAnsi="Arial"/>
                <w:sz w:val="18"/>
                <w:szCs w:val="18"/>
                <w:b w:val="1"/>
                <w:bCs w:val="1"/>
                <w:color w:val="auto"/>
                <w:w w:val="93"/>
              </w:rPr>
              <w:t>Fair Value at</w:t>
            </w:r>
          </w:p>
        </w:tc>
      </w:tr>
      <w:tr>
        <w:trPr>
          <w:trHeight w:val="234"/>
        </w:trPr>
        <w:tc>
          <w:tcPr>
            <w:tcW w:w="81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Number of Awards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5"/>
              </w:rPr>
              <w:t>Grant Date</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as of December 31,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99,289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33.44</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139,662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16.11</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Unvested as of December 31, 2022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159,965</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23.35</w:t>
            </w:r>
          </w:p>
        </w:tc>
      </w:tr>
      <w:tr>
        <w:trPr>
          <w:trHeight w:val="21"/>
        </w:trPr>
        <w:tc>
          <w:tcPr>
            <w:tcW w:w="8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outstanding stock options vest, subject to the continued employment of the grantees, in equal annual installments over four years following the grant date. The contractual term for the exercisability of the stock options is ten years from the grant date. The following table summarizes the stock</w:t>
      </w: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option</w:t>
            </w:r>
          </w:p>
        </w:tc>
        <w:tc>
          <w:tcPr>
            <w:tcW w:w="1860" w:type="dxa"/>
            <w:vAlign w:val="bottom"/>
          </w:tcPr>
          <w:p>
            <w:pPr>
              <w:ind w:left="380"/>
              <w:spacing w:after="0"/>
              <w:rPr>
                <w:sz w:val="20"/>
                <w:szCs w:val="20"/>
                <w:color w:val="auto"/>
              </w:rPr>
            </w:pPr>
            <w:r>
              <w:rPr>
                <w:rFonts w:ascii="Arial" w:cs="Arial" w:eastAsia="Arial" w:hAnsi="Arial"/>
                <w:sz w:val="18"/>
                <w:szCs w:val="18"/>
                <w:color w:val="auto"/>
              </w:rPr>
              <w:t>activity</w:t>
            </w:r>
          </w:p>
        </w:tc>
        <w:tc>
          <w:tcPr>
            <w:tcW w:w="1160" w:type="dxa"/>
            <w:vAlign w:val="bottom"/>
          </w:tcPr>
          <w:p>
            <w:pPr>
              <w:ind w:left="60"/>
              <w:spacing w:after="0"/>
              <w:rPr>
                <w:sz w:val="20"/>
                <w:szCs w:val="20"/>
                <w:color w:val="auto"/>
              </w:rPr>
            </w:pPr>
            <w:r>
              <w:rPr>
                <w:rFonts w:ascii="Arial" w:cs="Arial" w:eastAsia="Arial" w:hAnsi="Arial"/>
                <w:sz w:val="18"/>
                <w:szCs w:val="18"/>
                <w:color w:val="auto"/>
              </w:rPr>
              <w:t>for</w:t>
            </w:r>
          </w:p>
        </w:tc>
        <w:tc>
          <w:tcPr>
            <w:tcW w:w="800" w:type="dxa"/>
            <w:vAlign w:val="bottom"/>
          </w:tcPr>
          <w:p>
            <w:pPr>
              <w:ind w:left="80"/>
              <w:spacing w:after="0"/>
              <w:rPr>
                <w:sz w:val="20"/>
                <w:szCs w:val="20"/>
                <w:color w:val="auto"/>
              </w:rPr>
            </w:pPr>
            <w:r>
              <w:rPr>
                <w:rFonts w:ascii="Arial" w:cs="Arial" w:eastAsia="Arial" w:hAnsi="Arial"/>
                <w:sz w:val="18"/>
                <w:szCs w:val="18"/>
                <w:color w:val="auto"/>
              </w:rPr>
              <w:t>the</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year</w:t>
            </w: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end</w:t>
            </w:r>
          </w:p>
        </w:tc>
        <w:tc>
          <w:tcPr>
            <w:tcW w:w="160" w:type="dxa"/>
            <w:vAlign w:val="bottom"/>
          </w:tcPr>
          <w:p>
            <w:pPr>
              <w:spacing w:after="0"/>
              <w:rPr>
                <w:sz w:val="20"/>
                <w:szCs w:val="20"/>
                <w:color w:val="auto"/>
              </w:rPr>
            </w:pPr>
          </w:p>
        </w:tc>
        <w:tc>
          <w:tcPr>
            <w:tcW w:w="1680" w:type="dxa"/>
            <w:vAlign w:val="bottom"/>
          </w:tcPr>
          <w:p>
            <w:pPr>
              <w:jc w:val="right"/>
              <w:ind w:right="530"/>
              <w:spacing w:after="0"/>
              <w:rPr>
                <w:sz w:val="20"/>
                <w:szCs w:val="20"/>
                <w:color w:val="auto"/>
              </w:rPr>
            </w:pPr>
            <w:r>
              <w:rPr>
                <w:rFonts w:ascii="Arial" w:cs="Arial" w:eastAsia="Arial" w:hAnsi="Arial"/>
                <w:sz w:val="18"/>
                <w:szCs w:val="18"/>
                <w:color w:val="auto"/>
              </w:rPr>
              <w:t>December</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31,</w:t>
            </w:r>
          </w:p>
        </w:tc>
        <w:tc>
          <w:tcPr>
            <w:tcW w:w="1300" w:type="dxa"/>
            <w:vAlign w:val="bottom"/>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42"/>
        </w:trPr>
        <w:tc>
          <w:tcPr>
            <w:tcW w:w="10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Stock Options</w:t>
            </w: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9"/>
              </w:rPr>
              <w:t>Weighted Average</w:t>
            </w:r>
          </w:p>
        </w:tc>
        <w:tc>
          <w:tcPr>
            <w:tcW w:w="120" w:type="dxa"/>
            <w:vAlign w:val="bottom"/>
          </w:tcPr>
          <w:p>
            <w:pPr>
              <w:spacing w:after="0"/>
              <w:rPr>
                <w:sz w:val="14"/>
                <w:szCs w:val="14"/>
                <w:color w:val="auto"/>
              </w:rPr>
            </w:pPr>
          </w:p>
        </w:tc>
        <w:tc>
          <w:tcPr>
            <w:tcW w:w="1860" w:type="dxa"/>
            <w:vAlign w:val="bottom"/>
            <w:gridSpan w:val="2"/>
          </w:tcPr>
          <w:p>
            <w:pPr>
              <w:ind w:left="220"/>
              <w:spacing w:after="0" w:line="169" w:lineRule="exact"/>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2"/>
          </w:tcPr>
          <w:p>
            <w:pPr>
              <w:ind w:left="240"/>
              <w:spacing w:after="0" w:line="176" w:lineRule="exact"/>
              <w:rPr>
                <w:sz w:val="20"/>
                <w:szCs w:val="20"/>
                <w:color w:val="auto"/>
              </w:rPr>
            </w:pPr>
            <w:r>
              <w:rPr>
                <w:rFonts w:ascii="Arial" w:cs="Arial" w:eastAsia="Arial" w:hAnsi="Arial"/>
                <w:sz w:val="18"/>
                <w:szCs w:val="18"/>
                <w:b w:val="1"/>
                <w:bCs w:val="1"/>
                <w:color w:val="auto"/>
              </w:rPr>
              <w:t>Contractual Term</w:t>
            </w:r>
          </w:p>
        </w:tc>
        <w:tc>
          <w:tcPr>
            <w:tcW w:w="0" w:type="dxa"/>
            <w:vAlign w:val="bottom"/>
          </w:tcPr>
          <w:p>
            <w:pPr>
              <w:spacing w:after="0"/>
              <w:rPr>
                <w:sz w:val="1"/>
                <w:szCs w:val="1"/>
                <w:color w:val="auto"/>
              </w:rPr>
            </w:pPr>
          </w:p>
        </w:tc>
      </w:tr>
      <w:tr>
        <w:trPr>
          <w:trHeight w:val="243"/>
        </w:trPr>
        <w:tc>
          <w:tcPr>
            <w:tcW w:w="1060" w:type="dxa"/>
            <w:vAlign w:val="bottom"/>
            <w:tcBorders>
              <w:bottom w:val="single" w:sz="8" w:color="CCEEFF"/>
            </w:tcBorders>
          </w:tcPr>
          <w:p>
            <w:pPr>
              <w:spacing w:after="0"/>
              <w:rPr>
                <w:sz w:val="21"/>
                <w:szCs w:val="21"/>
                <w:color w:val="auto"/>
              </w:rPr>
            </w:pPr>
          </w:p>
        </w:tc>
        <w:tc>
          <w:tcPr>
            <w:tcW w:w="186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Number of Awards</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Exercise Price</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23"/>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89"/>
              </w:rPr>
              <w:t>Outstanding as of December 31, 2021</w:t>
            </w:r>
          </w:p>
        </w:tc>
        <w:tc>
          <w:tcPr>
            <w:tcW w:w="1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194,348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8.98</w:t>
            </w:r>
          </w:p>
        </w:tc>
        <w:tc>
          <w:tcPr>
            <w:tcW w:w="0" w:type="dxa"/>
            <w:vAlign w:val="bottom"/>
          </w:tcPr>
          <w:p>
            <w:pPr>
              <w:spacing w:after="0"/>
              <w:rPr>
                <w:sz w:val="1"/>
                <w:szCs w:val="1"/>
                <w:color w:val="auto"/>
              </w:rPr>
            </w:pP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color w:val="auto"/>
              </w:rPr>
              <w:t>Expired</w:t>
            </w:r>
          </w:p>
        </w:tc>
        <w:tc>
          <w:tcPr>
            <w:tcW w:w="1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33.56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8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Outstanding as of December 31, 2022</w:t>
            </w:r>
          </w:p>
        </w:tc>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172,461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0" w:type="dxa"/>
            <w:vAlign w:val="bottom"/>
          </w:tcPr>
          <w:p>
            <w:pPr>
              <w:spacing w:after="0"/>
              <w:rPr>
                <w:sz w:val="1"/>
                <w:szCs w:val="1"/>
                <w:color w:val="auto"/>
              </w:rPr>
            </w:pPr>
          </w:p>
        </w:tc>
      </w:tr>
      <w:tr>
        <w:trPr>
          <w:trHeight w:val="20"/>
        </w:trPr>
        <w:tc>
          <w:tcPr>
            <w:tcW w:w="106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w w:val="88"/>
              </w:rPr>
              <w:t>Vested and expected to vest as of December 31, 2022</w:t>
            </w:r>
          </w:p>
        </w:tc>
        <w:tc>
          <w:tcPr>
            <w:tcW w:w="8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34"/>
        </w:trPr>
        <w:tc>
          <w:tcPr>
            <w:tcW w:w="292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Exercisable as of December 31, 2022</w:t>
            </w:r>
          </w:p>
        </w:tc>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92,248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33.56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6.96</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stock options had no intrinsic value as of December 31, 2022 and 2021.</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estimated the fair value of each stock option on the date of grant using a Black–Scholes option-pricing model, applying the following assumptions: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Grant date</w:t>
            </w:r>
          </w:p>
        </w:tc>
        <w:tc>
          <w:tcPr>
            <w:tcW w:w="5140" w:type="dxa"/>
            <w:vAlign w:val="bottom"/>
            <w:shd w:val="clear" w:color="auto" w:fill="CCEEFF"/>
          </w:tcPr>
          <w:p>
            <w:pPr>
              <w:ind w:left="3080"/>
              <w:spacing w:after="0"/>
              <w:rPr>
                <w:sz w:val="20"/>
                <w:szCs w:val="20"/>
                <w:color w:val="auto"/>
              </w:rPr>
            </w:pPr>
            <w:r>
              <w:rPr>
                <w:rFonts w:ascii="Arial" w:cs="Arial" w:eastAsia="Arial" w:hAnsi="Arial"/>
                <w:sz w:val="18"/>
                <w:szCs w:val="18"/>
                <w:color w:val="auto"/>
              </w:rPr>
              <w:t>December 30, 2020</w:t>
            </w:r>
          </w:p>
        </w:tc>
      </w:tr>
      <w:tr>
        <w:trPr>
          <w:trHeight w:val="230"/>
        </w:trPr>
        <w:tc>
          <w:tcPr>
            <w:tcW w:w="6100" w:type="dxa"/>
            <w:vAlign w:val="bottom"/>
          </w:tcPr>
          <w:p>
            <w:pPr>
              <w:ind w:left="240"/>
              <w:spacing w:after="0"/>
              <w:rPr>
                <w:sz w:val="20"/>
                <w:szCs w:val="20"/>
                <w:color w:val="auto"/>
              </w:rPr>
            </w:pPr>
            <w:r>
              <w:rPr>
                <w:rFonts w:ascii="Arial" w:cs="Arial" w:eastAsia="Arial" w:hAnsi="Arial"/>
                <w:sz w:val="18"/>
                <w:szCs w:val="18"/>
                <w:color w:val="auto"/>
              </w:rPr>
              <w:t>Weighted average grant date fair value</w:t>
            </w:r>
          </w:p>
        </w:tc>
        <w:tc>
          <w:tcPr>
            <w:tcW w:w="5140" w:type="dxa"/>
            <w:vAlign w:val="bottom"/>
          </w:tcPr>
          <w:p>
            <w:pPr>
              <w:jc w:val="center"/>
              <w:ind w:left="2350"/>
              <w:spacing w:after="0"/>
              <w:rPr>
                <w:sz w:val="20"/>
                <w:szCs w:val="20"/>
                <w:color w:val="auto"/>
              </w:rPr>
            </w:pPr>
            <w:r>
              <w:rPr>
                <w:rFonts w:ascii="Arial" w:cs="Arial" w:eastAsia="Arial" w:hAnsi="Arial"/>
                <w:sz w:val="18"/>
                <w:szCs w:val="18"/>
                <w:color w:val="auto"/>
                <w:w w:val="90"/>
              </w:rPr>
              <w:t>$15.51</w:t>
            </w:r>
          </w:p>
        </w:tc>
      </w:tr>
      <w:tr>
        <w:trPr>
          <w:trHeight w:val="229"/>
        </w:trPr>
        <w:tc>
          <w:tcPr>
            <w:tcW w:w="61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(a)</w:t>
            </w:r>
          </w:p>
        </w:tc>
        <w:tc>
          <w:tcPr>
            <w:tcW w:w="5140" w:type="dxa"/>
            <w:vAlign w:val="bottom"/>
            <w:shd w:val="clear" w:color="auto" w:fill="CCEEFF"/>
          </w:tcPr>
          <w:p>
            <w:pPr>
              <w:jc w:val="center"/>
              <w:ind w:left="2350"/>
              <w:spacing w:after="0"/>
              <w:rPr>
                <w:sz w:val="20"/>
                <w:szCs w:val="20"/>
                <w:color w:val="auto"/>
              </w:rPr>
            </w:pPr>
            <w:r>
              <w:rPr>
                <w:rFonts w:ascii="Arial" w:cs="Arial" w:eastAsia="Arial" w:hAnsi="Arial"/>
                <w:sz w:val="18"/>
                <w:szCs w:val="18"/>
                <w:color w:val="auto"/>
                <w:w w:val="90"/>
              </w:rPr>
              <w:t>0.55%</w:t>
            </w:r>
          </w:p>
        </w:tc>
      </w:tr>
      <w:tr>
        <w:trPr>
          <w:trHeight w:val="230"/>
        </w:trPr>
        <w:tc>
          <w:tcPr>
            <w:tcW w:w="610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Expected term (years) </w:t>
            </w:r>
            <w:r>
              <w:rPr>
                <w:rFonts w:ascii="Arial" w:cs="Arial" w:eastAsia="Arial" w:hAnsi="Arial"/>
                <w:sz w:val="23"/>
                <w:szCs w:val="23"/>
                <w:color w:val="auto"/>
                <w:vertAlign w:val="superscript"/>
              </w:rPr>
              <w:t>(b)</w:t>
            </w:r>
          </w:p>
        </w:tc>
        <w:tc>
          <w:tcPr>
            <w:tcW w:w="5140" w:type="dxa"/>
            <w:vAlign w:val="bottom"/>
          </w:tcPr>
          <w:p>
            <w:pPr>
              <w:jc w:val="center"/>
              <w:ind w:left="2330"/>
              <w:spacing w:after="0"/>
              <w:rPr>
                <w:sz w:val="20"/>
                <w:szCs w:val="20"/>
                <w:color w:val="auto"/>
              </w:rPr>
            </w:pPr>
            <w:r>
              <w:rPr>
                <w:rFonts w:ascii="Arial" w:cs="Arial" w:eastAsia="Arial" w:hAnsi="Arial"/>
                <w:sz w:val="18"/>
                <w:szCs w:val="18"/>
                <w:color w:val="auto"/>
                <w:w w:val="91"/>
              </w:rPr>
              <w:t>6.25</w:t>
            </w:r>
          </w:p>
        </w:tc>
      </w:tr>
      <w:tr>
        <w:trPr>
          <w:trHeight w:val="230"/>
        </w:trPr>
        <w:tc>
          <w:tcPr>
            <w:tcW w:w="61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Expected volatility rate </w:t>
            </w:r>
            <w:r>
              <w:rPr>
                <w:rFonts w:ascii="Arial" w:cs="Arial" w:eastAsia="Arial" w:hAnsi="Arial"/>
                <w:sz w:val="23"/>
                <w:szCs w:val="23"/>
                <w:color w:val="auto"/>
                <w:vertAlign w:val="superscript"/>
              </w:rPr>
              <w:t>(c)</w:t>
            </w:r>
          </w:p>
        </w:tc>
        <w:tc>
          <w:tcPr>
            <w:tcW w:w="5140" w:type="dxa"/>
            <w:vAlign w:val="bottom"/>
            <w:shd w:val="clear" w:color="auto" w:fill="CCEEFF"/>
          </w:tcPr>
          <w:p>
            <w:pPr>
              <w:jc w:val="center"/>
              <w:ind w:left="2330"/>
              <w:spacing w:after="0"/>
              <w:rPr>
                <w:sz w:val="20"/>
                <w:szCs w:val="20"/>
                <w:color w:val="auto"/>
              </w:rPr>
            </w:pPr>
            <w:r>
              <w:rPr>
                <w:rFonts w:ascii="Arial" w:cs="Arial" w:eastAsia="Arial" w:hAnsi="Arial"/>
                <w:sz w:val="18"/>
                <w:szCs w:val="18"/>
                <w:color w:val="auto"/>
                <w:w w:val="91"/>
              </w:rPr>
              <w:t>50.00%</w:t>
            </w:r>
          </w:p>
        </w:tc>
      </w:tr>
      <w:tr>
        <w:trPr>
          <w:trHeight w:val="304"/>
        </w:trPr>
        <w:tc>
          <w:tcPr>
            <w:tcW w:w="6100" w:type="dxa"/>
            <w:vAlign w:val="bottom"/>
          </w:tcPr>
          <w:p>
            <w:pPr>
              <w:ind w:left="240"/>
              <w:spacing w:after="0"/>
              <w:rPr>
                <w:sz w:val="20"/>
                <w:szCs w:val="20"/>
                <w:color w:val="auto"/>
              </w:rPr>
            </w:pPr>
            <w:r>
              <w:rPr>
                <w:rFonts w:ascii="Arial" w:cs="Arial" w:eastAsia="Arial" w:hAnsi="Arial"/>
                <w:sz w:val="18"/>
                <w:szCs w:val="18"/>
                <w:color w:val="auto"/>
              </w:rPr>
              <w:t xml:space="preserve">Expected dividend yield </w:t>
            </w:r>
            <w:r>
              <w:rPr>
                <w:rFonts w:ascii="Arial" w:cs="Arial" w:eastAsia="Arial" w:hAnsi="Arial"/>
                <w:sz w:val="23"/>
                <w:szCs w:val="23"/>
                <w:color w:val="auto"/>
                <w:vertAlign w:val="superscript"/>
              </w:rPr>
              <w:t>(d)</w:t>
            </w:r>
          </w:p>
        </w:tc>
        <w:tc>
          <w:tcPr>
            <w:tcW w:w="5140" w:type="dxa"/>
            <w:vAlign w:val="bottom"/>
          </w:tcPr>
          <w:p>
            <w:pPr>
              <w:jc w:val="center"/>
              <w:ind w:left="2330"/>
              <w:spacing w:after="0"/>
              <w:rPr>
                <w:sz w:val="20"/>
                <w:szCs w:val="20"/>
                <w:color w:val="auto"/>
              </w:rPr>
            </w:pPr>
            <w:r>
              <w:rPr>
                <w:rFonts w:ascii="Arial" w:cs="Arial" w:eastAsia="Arial" w:hAnsi="Arial"/>
                <w:sz w:val="18"/>
                <w:szCs w:val="18"/>
                <w:color w:val="auto"/>
                <w:w w:val="93"/>
              </w:rPr>
              <w:t>—%</w:t>
            </w:r>
          </w:p>
        </w:tc>
      </w:tr>
    </w:tbl>
    <w:p>
      <w:pPr>
        <w:spacing w:after="0" w:line="64" w:lineRule="exact"/>
        <w:rPr>
          <w:sz w:val="20"/>
          <w:szCs w:val="20"/>
          <w:color w:val="auto"/>
        </w:rPr>
      </w:pPr>
    </w:p>
    <w:p>
      <w:pPr>
        <w:ind w:left="660" w:hanging="328"/>
        <w:spacing w:after="0" w:line="275" w:lineRule="auto"/>
        <w:tabs>
          <w:tab w:leader="none" w:pos="651"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risk-free interest rate was interpolated from the five-year and seven-year Constant Maturity Treasury rate published by the U.S. Treasury as of the date of the grant.</w:t>
      </w:r>
    </w:p>
    <w:p>
      <w:pPr>
        <w:spacing w:after="0" w:line="10"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expected life was estimated using the Simplified Method, which utilizes the midpoint between the vesting date and the end of the contractual term.</w:t>
      </w:r>
    </w:p>
    <w:p>
      <w:pPr>
        <w:spacing w:after="0" w:line="84" w:lineRule="exact"/>
        <w:rPr>
          <w:rFonts w:ascii="Arial" w:cs="Arial" w:eastAsia="Arial" w:hAnsi="Arial"/>
          <w:sz w:val="15"/>
          <w:szCs w:val="15"/>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expected volatility rate was based on the average of implied and observed historical volatility of comparable companies.</w:t>
      </w:r>
    </w:p>
    <w:p>
      <w:pPr>
        <w:spacing w:after="0" w:line="59" w:lineRule="exact"/>
        <w:rPr>
          <w:rFonts w:ascii="Arial" w:cs="Arial" w:eastAsia="Arial" w:hAnsi="Arial"/>
          <w:sz w:val="16"/>
          <w:szCs w:val="16"/>
          <w:color w:val="auto"/>
        </w:rPr>
      </w:pPr>
    </w:p>
    <w:p>
      <w:pPr>
        <w:ind w:left="660" w:hanging="328"/>
        <w:spacing w:after="0" w:line="293"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At the grant date, no dividends were expected to be paid over the contractual term of the stock options granted, based on the Company's dividend policy, resulting in the use of a zero dividend rate.</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Share-Based Compensation Expense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future compensation expense to be recorded for share-based compensation awards that were outstanding as of December 31, 2022: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w w:val="91"/>
              </w:rPr>
              <w:t>Weighted Average Amortization</w:t>
            </w:r>
          </w:p>
        </w:tc>
      </w:tr>
      <w:tr>
        <w:trPr>
          <w:trHeight w:val="243"/>
        </w:trPr>
        <w:tc>
          <w:tcPr>
            <w:tcW w:w="6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3"/>
              </w:rPr>
              <w:t>Unrecognized Expense</w:t>
            </w:r>
          </w:p>
        </w:tc>
        <w:tc>
          <w:tcPr>
            <w:tcW w:w="80" w:type="dxa"/>
            <w:vAlign w:val="bottom"/>
          </w:tcPr>
          <w:p>
            <w:pPr>
              <w:spacing w:after="0"/>
              <w:rPr>
                <w:sz w:val="21"/>
                <w:szCs w:val="21"/>
                <w:color w:val="auto"/>
              </w:rPr>
            </w:pPr>
          </w:p>
        </w:tc>
        <w:tc>
          <w:tcPr>
            <w:tcW w:w="25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Period (Years)</w:t>
            </w:r>
          </w:p>
        </w:tc>
      </w:tr>
      <w:tr>
        <w:trPr>
          <w:trHeight w:val="223"/>
        </w:trPr>
        <w:tc>
          <w:tcPr>
            <w:tcW w:w="6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jc w:val="right"/>
              <w:ind w:right="650"/>
              <w:spacing w:after="0"/>
              <w:rPr>
                <w:sz w:val="20"/>
                <w:szCs w:val="20"/>
                <w:color w:val="auto"/>
              </w:rPr>
            </w:pPr>
            <w:r>
              <w:rPr>
                <w:rFonts w:ascii="Arial" w:cs="Arial" w:eastAsia="Arial" w:hAnsi="Arial"/>
                <w:sz w:val="18"/>
                <w:szCs w:val="18"/>
                <w:i w:val="1"/>
                <w:iCs w:val="1"/>
                <w:color w:val="auto"/>
              </w:rPr>
              <w:t>(in thousands)</w:t>
            </w:r>
          </w:p>
        </w:tc>
        <w:tc>
          <w:tcPr>
            <w:tcW w:w="8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restricted stock units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18,804</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Performance-based restricted stock units</w:t>
            </w:r>
          </w:p>
        </w:tc>
        <w:tc>
          <w:tcPr>
            <w:tcW w:w="2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187</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4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Total unrecognized share-based compensation expense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20,233</w:t>
            </w:r>
          </w:p>
        </w:tc>
        <w:tc>
          <w:tcPr>
            <w:tcW w:w="2600" w:type="dxa"/>
            <w:vAlign w:val="bottom"/>
            <w:gridSpan w:val="2"/>
          </w:tcPr>
          <w:p>
            <w:pPr>
              <w:jc w:val="right"/>
              <w:spacing w:after="0"/>
              <w:rPr>
                <w:sz w:val="20"/>
                <w:szCs w:val="20"/>
                <w:color w:val="auto"/>
              </w:rPr>
            </w:pPr>
            <w:r>
              <w:rPr>
                <w:rFonts w:ascii="Arial" w:cs="Arial" w:eastAsia="Arial" w:hAnsi="Arial"/>
                <w:sz w:val="18"/>
                <w:szCs w:val="18"/>
                <w:b w:val="1"/>
                <w:bCs w:val="1"/>
                <w:color w:val="auto"/>
              </w:rPr>
              <w:t>3.17</w:t>
            </w:r>
          </w:p>
        </w:tc>
      </w:tr>
      <w:tr>
        <w:trPr>
          <w:trHeight w:val="20"/>
        </w:trPr>
        <w:tc>
          <w:tcPr>
            <w:tcW w:w="6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9—Net Income (Loss) Per Share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Restated and Amended Certificate of Incorporation and as a result of the reverse recapitalization, the Company retrospectively adjusted the weighted average shares outstanding prior to June 10, 2020 to give effect to the exchange ratio used to determine the number of shares of common stock into which they were converted.</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net income (loss) per share is computed based on the weighted average number of shares of common stock outstanding during the period. Diluted net income (loss) per share is computed based on the weighted average number of common shares outstanding plus the effect of potentially dilutive common shares outstanding during the period using the applicable methods. The potentially dilutive common shares during the years ended December 31, 2022, 2021 and 2020 include unvested and unexercised stock options and unvested time-based restricted stock units. The potentially dilutive common shares during the years ended December 31, 2022, 2021 and 2020 do not include performance-based restricted stock units because the performance conditions of these awards have not been satisfied. The potentially dilutive common shares are included in the calculation of diluted net income (loss) per share only when their effect is dilutive.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basic and diluted net income (loss) per share attributable to common stockholders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2021 and 2020:</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center"/>
              <w:ind w:left="691"/>
              <w:spacing w:after="0"/>
              <w:rPr>
                <w:sz w:val="20"/>
                <w:szCs w:val="20"/>
                <w:color w:val="auto"/>
              </w:rPr>
            </w:pPr>
            <w:r>
              <w:rPr>
                <w:rFonts w:ascii="Arial" w:cs="Arial" w:eastAsia="Arial" w:hAnsi="Arial"/>
                <w:sz w:val="18"/>
                <w:szCs w:val="18"/>
                <w:b w:val="1"/>
                <w:bCs w:val="1"/>
                <w:color w:val="auto"/>
                <w:w w:val="90"/>
              </w:rPr>
              <w:t>Year Ended 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20" w:type="dxa"/>
            <w:vAlign w:val="bottom"/>
            <w:gridSpan w:val="7"/>
          </w:tcPr>
          <w:p>
            <w:pPr>
              <w:jc w:val="center"/>
              <w:ind w:right="190"/>
              <w:spacing w:after="0"/>
              <w:rPr>
                <w:sz w:val="20"/>
                <w:szCs w:val="20"/>
                <w:color w:val="auto"/>
              </w:rPr>
            </w:pPr>
            <w:r>
              <w:rPr>
                <w:rFonts w:ascii="Arial" w:cs="Arial" w:eastAsia="Arial" w:hAnsi="Arial"/>
                <w:sz w:val="14"/>
                <w:szCs w:val="14"/>
                <w:i w:val="1"/>
                <w:iCs w:val="1"/>
                <w:color w:val="auto"/>
                <w:w w:val="91"/>
              </w:rPr>
              <w:t>(in thousands, except share and per share data)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72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Basic net income (loss) per share: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560" w:type="dxa"/>
            <w:vAlign w:val="bottom"/>
            <w:tcBorders>
              <w:top w:val="single" w:sz="8" w:color="auto"/>
            </w:tcBorders>
          </w:tcPr>
          <w:p>
            <w:pPr>
              <w:ind w:left="220"/>
              <w:spacing w:after="0"/>
              <w:rPr>
                <w:sz w:val="20"/>
                <w:szCs w:val="20"/>
                <w:color w:val="auto"/>
              </w:rPr>
            </w:pPr>
            <w:r>
              <w:rPr>
                <w:rFonts w:ascii="Arial" w:cs="Arial" w:eastAsia="Arial" w:hAnsi="Arial"/>
                <w:sz w:val="18"/>
                <w:szCs w:val="18"/>
                <w:b w:val="1"/>
                <w:bCs w:val="1"/>
                <w:color w:val="auto"/>
              </w:rPr>
              <w:t>Numerator</w:t>
            </w:r>
          </w:p>
        </w:tc>
        <w:tc>
          <w:tcPr>
            <w:tcW w:w="4160" w:type="dxa"/>
            <w:vAlign w:val="bottom"/>
            <w:tcBorders>
              <w:top w:val="single" w:sz="8" w:color="CCEEFF"/>
            </w:tcBorders>
            <w:gridSpan w:val="2"/>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3"/>
          </w:tcPr>
          <w:p>
            <w:pPr>
              <w:ind w:left="440"/>
              <w:spacing w:after="0"/>
              <w:rPr>
                <w:sz w:val="20"/>
                <w:szCs w:val="20"/>
                <w:color w:val="auto"/>
              </w:rPr>
            </w:pPr>
            <w:r>
              <w:rPr>
                <w:rFonts w:ascii="Arial" w:cs="Arial" w:eastAsia="Arial" w:hAnsi="Arial"/>
                <w:sz w:val="18"/>
                <w:szCs w:val="18"/>
                <w:color w:val="auto"/>
              </w:rPr>
              <w:t>Preferred distribution to redeemable convertible Series C preferred units</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(40,689)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7"/>
              </w:rPr>
              <w:t>Accretion to redemption value of redeemable convertible Series C preferred units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3"/>
          </w:tcPr>
          <w:p>
            <w:pPr>
              <w:ind w:left="440"/>
              <w:spacing w:after="0"/>
              <w:rPr>
                <w:sz w:val="20"/>
                <w:szCs w:val="20"/>
                <w:color w:val="auto"/>
              </w:rPr>
            </w:pPr>
            <w:r>
              <w:rPr>
                <w:rFonts w:ascii="Arial" w:cs="Arial" w:eastAsia="Arial" w:hAnsi="Arial"/>
                <w:sz w:val="18"/>
                <w:szCs w:val="18"/>
                <w:color w:val="auto"/>
              </w:rPr>
              <w:t>Net income (loss) attributable to common stockholders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66,620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146,082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(90,716)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720" w:type="dxa"/>
            <w:vAlign w:val="bottom"/>
            <w:gridSpan w:val="3"/>
            <w:shd w:val="clear" w:color="auto" w:fill="CCEEFF"/>
          </w:tcPr>
          <w:p>
            <w:pPr>
              <w:ind w:left="220"/>
              <w:spacing w:after="0" w:line="196" w:lineRule="exact"/>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3"/>
          </w:tcPr>
          <w:p>
            <w:pPr>
              <w:ind w:left="4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126,108,329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126,354,597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82,908,772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Basic net income (loss) per share attributable to common stockholders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72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Diluted net income (loss) per share: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72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Numerator</w:t>
            </w:r>
          </w:p>
        </w:tc>
        <w:tc>
          <w:tcPr>
            <w:tcW w:w="40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Net income (loss) attributable to common stockholders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Basic weighted average common shares outstanding</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126,108,329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126,354,597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82,908,772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3"/>
          </w:tcPr>
          <w:p>
            <w:pPr>
              <w:ind w:left="440"/>
              <w:spacing w:after="0"/>
              <w:rPr>
                <w:sz w:val="20"/>
                <w:szCs w:val="20"/>
                <w:color w:val="auto"/>
              </w:rPr>
            </w:pPr>
            <w:r>
              <w:rPr>
                <w:rFonts w:ascii="Arial" w:cs="Arial" w:eastAsia="Arial" w:hAnsi="Arial"/>
                <w:sz w:val="18"/>
                <w:szCs w:val="18"/>
                <w:color w:val="auto"/>
              </w:rPr>
              <w:t>Dilutive effect of time-based restricted stock units outstanding</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Diluted weighted average common shares outstanding</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126,261,614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126,390,435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82,908,772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720" w:type="dxa"/>
            <w:vAlign w:val="bottom"/>
            <w:tcBorders>
              <w:top w:val="single" w:sz="8" w:color="CCEEFF"/>
              <w:bottom w:val="single" w:sz="8" w:color="CCEEFF"/>
            </w:tcBorders>
            <w:gridSpan w:val="3"/>
            <w:vMerge w:val="restart"/>
          </w:tcPr>
          <w:p>
            <w:pPr>
              <w:ind w:left="220"/>
              <w:spacing w:after="0"/>
              <w:rPr>
                <w:sz w:val="20"/>
                <w:szCs w:val="20"/>
                <w:color w:val="auto"/>
              </w:rPr>
            </w:pPr>
            <w:r>
              <w:rPr>
                <w:rFonts w:ascii="Arial" w:cs="Arial" w:eastAsia="Arial" w:hAnsi="Arial"/>
                <w:sz w:val="18"/>
                <w:szCs w:val="18"/>
                <w:b w:val="1"/>
                <w:bCs w:val="1"/>
                <w:color w:val="auto"/>
              </w:rPr>
              <w:t>Diluted net income (loss) per share attributable to common stockholders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6720" w:type="dxa"/>
            <w:vAlign w:val="bottom"/>
            <w:gridSpan w:val="3"/>
            <w:vMerge w:val="continue"/>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0.53</w:t>
            </w:r>
          </w:p>
        </w:tc>
        <w:tc>
          <w:tcPr>
            <w:tcW w:w="1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potentially dilutive outstanding securities for the years ended December 31, 2022, 2021 and 2020 were excluded from the computation of diluted net income (loss) per share because their effect would have been anti-dilutive for the periods presented, or the issuance of such shares is contingent upon the satisfaction of certain conditions which were not satisfied by the end of the periods: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3380" w:type="dxa"/>
            <w:vAlign w:val="bottom"/>
            <w:tcBorders>
              <w:bottom w:val="single" w:sz="8" w:color="auto"/>
            </w:tcBorders>
            <w:gridSpan w:val="5"/>
          </w:tcPr>
          <w:p>
            <w:pPr>
              <w:ind w:left="1220"/>
              <w:spacing w:after="0"/>
              <w:rPr>
                <w:sz w:val="20"/>
                <w:szCs w:val="20"/>
                <w:color w:val="auto"/>
              </w:rPr>
            </w:pPr>
            <w:r>
              <w:rPr>
                <w:rFonts w:ascii="Arial" w:cs="Arial" w:eastAsia="Arial" w:hAnsi="Arial"/>
                <w:sz w:val="18"/>
                <w:szCs w:val="18"/>
                <w:b w:val="1"/>
                <w:bCs w:val="1"/>
                <w:color w:val="auto"/>
                <w:w w:val="96"/>
              </w:rPr>
              <w:t>Year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68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and unexercised stock options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172,461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Unvested time-based restricted stock units</w:t>
            </w:r>
          </w:p>
        </w:tc>
        <w:tc>
          <w:tcPr>
            <w:tcW w:w="1400" w:type="dxa"/>
            <w:vAlign w:val="bottom"/>
          </w:tcPr>
          <w:p>
            <w:pPr>
              <w:jc w:val="right"/>
              <w:spacing w:after="0"/>
              <w:rPr>
                <w:sz w:val="20"/>
                <w:szCs w:val="20"/>
                <w:color w:val="auto"/>
              </w:rPr>
            </w:pPr>
            <w:r>
              <w:rPr>
                <w:rFonts w:ascii="Arial" w:cs="Arial" w:eastAsia="Arial" w:hAnsi="Arial"/>
                <w:sz w:val="18"/>
                <w:szCs w:val="18"/>
                <w:color w:val="auto"/>
              </w:rPr>
              <w:t>411,349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performance-based restricted stock units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159,965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Redeemable public warrants</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836,474</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3,018,699</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Retroactively restated redeemable convertible Series C preferred units</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6,281,025</w:t>
            </w:r>
          </w:p>
        </w:tc>
      </w:tr>
      <w:tr>
        <w:trPr>
          <w:trHeight w:val="248"/>
        </w:trPr>
        <w:tc>
          <w:tcPr>
            <w:tcW w:w="68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743,775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443,637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10,136,198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of Financial Instruments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in an orderly transaction between market participants. In arriving at a fair value measurement, the Company uses a fair value hierarchy based on three levels of inputs, of which the first two are considered observable and the last unobservable. The three levels of inputs used to establish fair value are the following:</w:t>
      </w:r>
    </w:p>
    <w:p>
      <w:pPr>
        <w:spacing w:after="0" w:line="76" w:lineRule="exact"/>
        <w:rPr>
          <w:sz w:val="20"/>
          <w:szCs w:val="20"/>
          <w:color w:val="auto"/>
        </w:rPr>
      </w:pPr>
    </w:p>
    <w:p>
      <w:pPr>
        <w:ind w:left="5460" w:right="5220" w:hanging="5128"/>
        <w:spacing w:after="0" w:line="1064" w:lineRule="auto"/>
        <w:tabs>
          <w:tab w:leader="none" w:pos="581" w:val="left"/>
        </w:tabs>
        <w:numPr>
          <w:ilvl w:val="0"/>
          <w:numId w:val="38"/>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or liabilities; 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6" w:lineRule="exact"/>
        <w:rPr>
          <w:sz w:val="20"/>
          <w:szCs w:val="20"/>
          <w:color w:val="auto"/>
        </w:rPr>
      </w:pPr>
    </w:p>
    <w:p>
      <w:pPr>
        <w:ind w:left="660" w:right="100" w:hanging="328"/>
        <w:spacing w:after="0" w:line="263" w:lineRule="auto"/>
        <w:tabs>
          <w:tab w:leader="none" w:pos="579"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75" w:lineRule="exact"/>
        <w:rPr>
          <w:rFonts w:ascii="Arial" w:cs="Arial" w:eastAsia="Arial" w:hAnsi="Arial"/>
          <w:sz w:val="18"/>
          <w:szCs w:val="18"/>
          <w:color w:val="auto"/>
        </w:rPr>
      </w:pPr>
    </w:p>
    <w:p>
      <w:pPr>
        <w:ind w:left="580" w:hanging="248"/>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situations where there is little, if any, market activity for the asset or liability at the measurement date, the fair value measurement reflects the Company’s own judgments about the assumptions that market participants would use in pricing the asset or liability. Those judgments are developed by the Company based on the best information available in the circumstances, including expected cash flows and appropriately risk-adjusted discount rates, available observable and unobservable inputs.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assets are measured at fair value on a nonrecurring basis. These assets, including property and equipment and operating lease right-of-use asset, are subject to fair value adjustments whenever events or circumstances indicate the carrying value of the assets may not be recoverable and are subsequently written down to fair value when impaired. During the years ended December 31, 2022, 2021 and 2020, the Company had no impairment charges related to its property and equipment and operating lease right-of-use asset.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measured at fair value on a recurring basis were as follows (in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7"/>
          </w:tcPr>
          <w:p>
            <w:pPr>
              <w:jc w:val="center"/>
              <w:ind w:right="230"/>
              <w:spacing w:after="0"/>
              <w:rPr>
                <w:sz w:val="20"/>
                <w:szCs w:val="20"/>
                <w:color w:val="auto"/>
              </w:rPr>
            </w:pPr>
            <w:r>
              <w:rPr>
                <w:rFonts w:ascii="Arial" w:cs="Arial" w:eastAsia="Arial" w:hAnsi="Arial"/>
                <w:sz w:val="18"/>
                <w:szCs w:val="18"/>
                <w:b w:val="1"/>
                <w:bCs w:val="1"/>
                <w:color w:val="auto"/>
                <w:w w:val="89"/>
              </w:rPr>
              <w:t>Fair value measurement as of December 31, 2022</w:t>
            </w:r>
          </w:p>
        </w:tc>
      </w:tr>
      <w:tr>
        <w:trPr>
          <w:trHeight w:val="223"/>
        </w:trPr>
        <w:tc>
          <w:tcPr>
            <w:tcW w:w="4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8"/>
                <w:szCs w:val="18"/>
                <w:b w:val="1"/>
                <w:bCs w:val="1"/>
                <w:color w:val="auto"/>
                <w:w w:val="91"/>
              </w:rPr>
              <w:t>Level 2</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Level 3</w:t>
            </w:r>
          </w:p>
        </w:tc>
      </w:tr>
      <w:tr>
        <w:trPr>
          <w:trHeight w:val="223"/>
        </w:trPr>
        <w:tc>
          <w:tcPr>
            <w:tcW w:w="4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35,915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35,915</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151,511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187,426</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187,426</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b w:val="1"/>
                <w:bCs w:val="1"/>
                <w:color w:val="auto"/>
              </w:rPr>
              <w:t>—</w:t>
            </w:r>
          </w:p>
        </w:tc>
      </w:tr>
      <w:tr>
        <w:trPr>
          <w:trHeight w:val="20"/>
        </w:trPr>
        <w:tc>
          <w:tcPr>
            <w:tcW w:w="4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r>
      <w:tr>
        <w:trPr>
          <w:trHeight w:val="655"/>
        </w:trPr>
        <w:tc>
          <w:tcPr>
            <w:tcW w:w="4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7"/>
          </w:tcPr>
          <w:p>
            <w:pPr>
              <w:jc w:val="center"/>
              <w:ind w:right="230"/>
              <w:spacing w:after="0"/>
              <w:rPr>
                <w:sz w:val="20"/>
                <w:szCs w:val="20"/>
                <w:color w:val="auto"/>
              </w:rPr>
            </w:pPr>
            <w:r>
              <w:rPr>
                <w:rFonts w:ascii="Arial" w:cs="Arial" w:eastAsia="Arial" w:hAnsi="Arial"/>
                <w:sz w:val="18"/>
                <w:szCs w:val="18"/>
                <w:b w:val="1"/>
                <w:bCs w:val="1"/>
                <w:color w:val="auto"/>
                <w:w w:val="89"/>
              </w:rPr>
              <w:t>Fair value measurement as of December 31, 2021</w:t>
            </w:r>
          </w:p>
        </w:tc>
      </w:tr>
      <w:tr>
        <w:trPr>
          <w:trHeight w:val="223"/>
        </w:trPr>
        <w:tc>
          <w:tcPr>
            <w:tcW w:w="4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8"/>
                <w:szCs w:val="18"/>
                <w:b w:val="1"/>
                <w:bCs w:val="1"/>
                <w:color w:val="auto"/>
                <w:w w:val="91"/>
              </w:rPr>
              <w:t>Level 2</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Level 3</w:t>
            </w:r>
          </w:p>
        </w:tc>
      </w:tr>
      <w:tr>
        <w:trPr>
          <w:trHeight w:val="223"/>
        </w:trPr>
        <w:tc>
          <w:tcPr>
            <w:tcW w:w="4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5,232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5,232</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b w:val="1"/>
                <w:bCs w:val="1"/>
                <w:color w:val="auto"/>
              </w:rPr>
              <w:t>—</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amounts reported in the consolidated balance sheets as current assets or current liabilities, including cash, restricted cash, accounts receivable, net, current contract assets, net, other current assets, accounts payable and accrued expenses, each approximate their fair value due to the short-term maturities of the instruments.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fair value of financial assets that are not measured at fair value: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80" w:type="dxa"/>
            <w:vAlign w:val="bottom"/>
            <w:gridSpan w:val="5"/>
          </w:tcPr>
          <w:p>
            <w:pPr>
              <w:ind w:left="780"/>
              <w:spacing w:after="0"/>
              <w:rPr>
                <w:sz w:val="20"/>
                <w:szCs w:val="20"/>
                <w:color w:val="auto"/>
              </w:rPr>
            </w:pPr>
            <w:r>
              <w:rPr>
                <w:rFonts w:ascii="Arial" w:cs="Arial" w:eastAsia="Arial" w:hAnsi="Arial"/>
                <w:sz w:val="18"/>
                <w:szCs w:val="18"/>
                <w:b w:val="1"/>
                <w:bCs w:val="1"/>
                <w:color w:val="auto"/>
              </w:rPr>
              <w:t>December 31, 2022</w:t>
            </w:r>
          </w:p>
        </w:tc>
        <w:tc>
          <w:tcPr>
            <w:tcW w:w="160" w:type="dxa"/>
            <w:vAlign w:val="bottom"/>
          </w:tcPr>
          <w:p>
            <w:pPr>
              <w:spacing w:after="0"/>
              <w:rPr>
                <w:sz w:val="20"/>
                <w:szCs w:val="20"/>
                <w:color w:val="auto"/>
              </w:rPr>
            </w:pPr>
          </w:p>
        </w:tc>
        <w:tc>
          <w:tcPr>
            <w:tcW w:w="3240" w:type="dxa"/>
            <w:vAlign w:val="bottom"/>
            <w:gridSpan w:val="4"/>
          </w:tcPr>
          <w:p>
            <w:pPr>
              <w:ind w:left="800"/>
              <w:spacing w:after="0"/>
              <w:rPr>
                <w:sz w:val="20"/>
                <w:szCs w:val="20"/>
                <w:color w:val="auto"/>
              </w:rPr>
            </w:pPr>
            <w:r>
              <w:rPr>
                <w:rFonts w:ascii="Arial" w:cs="Arial" w:eastAsia="Arial" w:hAnsi="Arial"/>
                <w:sz w:val="18"/>
                <w:szCs w:val="18"/>
                <w:b w:val="1"/>
                <w:bCs w:val="1"/>
                <w:color w:val="auto"/>
              </w:rPr>
              <w:t>December 31, 2021</w:t>
            </w:r>
          </w:p>
        </w:tc>
      </w:tr>
      <w:tr>
        <w:trPr>
          <w:trHeight w:val="223"/>
        </w:trPr>
        <w:tc>
          <w:tcPr>
            <w:tcW w:w="4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Carrying value</w:t>
            </w:r>
          </w:p>
        </w:tc>
        <w:tc>
          <w:tcPr>
            <w:tcW w:w="2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Carrying value</w:t>
            </w:r>
          </w:p>
        </w:tc>
        <w:tc>
          <w:tcPr>
            <w:tcW w:w="2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2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147,433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147,433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8"/>
              </w:rPr>
              <w:t>146,260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146,260</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147,433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147,433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b w:val="1"/>
                <w:bCs w:val="1"/>
                <w:color w:val="auto"/>
                <w:w w:val="98"/>
              </w:rPr>
              <w:t>146,260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146,260</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carrying amount of the Company’s debt approximates its fair value due to its variable interest rate. The fair value was determined using the Adjusted SOFR as of December 31, 2022, and LIBOR as of December 31, 2021, plus an applicable spread, a Level 2 classification in the fair value hierarchy.</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accounting policy is to recognize transfers between levels of the fair value hierarchy on the date of the event or change in circumstances that caused the transfer. There were no transfers in or out of any level for the years ended December 31, 2022 and 2021.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one real estate operating lease associated with its corporate headquarters, which commenced on September 1, 2020 and expires on January 31, 2029. The lease agreement provides a 60 month lease term extension option, which is not included in the Company’s lease ROU asset and lease liability balances as of December 31, 2022. The lease agreement contains lease and non-lease components that are accounted for as a single lease component.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gridSpan w:val="5"/>
          </w:tcPr>
          <w:p>
            <w:pPr>
              <w:spacing w:after="0"/>
              <w:rPr>
                <w:sz w:val="20"/>
                <w:szCs w:val="20"/>
                <w:color w:val="auto"/>
              </w:rPr>
            </w:pPr>
            <w:r>
              <w:rPr>
                <w:rFonts w:ascii="Arial" w:cs="Arial" w:eastAsia="Arial" w:hAnsi="Arial"/>
                <w:sz w:val="18"/>
                <w:szCs w:val="18"/>
                <w:color w:val="auto"/>
                <w:w w:val="91"/>
              </w:rPr>
              <w:t>For the years ended December 31, 2022, 2021 and 2020, the Company recorded the following lease expenses: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4"/>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left="50"/>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i w:val="1"/>
                <w:iCs w:val="1"/>
                <w:color w:val="auto"/>
                <w:w w:val="91"/>
              </w:rPr>
              <w:t>(in thousands)</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30"/>
        </w:trPr>
        <w:tc>
          <w:tcPr>
            <w:tcW w:w="20" w:type="dxa"/>
            <w:vAlign w:val="bottom"/>
          </w:tcPr>
          <w:p>
            <w:pPr>
              <w:spacing w:after="0"/>
              <w:rPr>
                <w:sz w:val="19"/>
                <w:szCs w:val="19"/>
                <w:color w:val="auto"/>
              </w:rPr>
            </w:pPr>
          </w:p>
        </w:tc>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payments</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r>
      <w:tr>
        <w:trPr>
          <w:trHeight w:val="248"/>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expense</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929</w:t>
            </w:r>
          </w:p>
        </w:tc>
      </w:tr>
      <w:tr>
        <w:trPr>
          <w:trHeight w:val="20"/>
        </w:trPr>
        <w:tc>
          <w:tcPr>
            <w:tcW w:w="20" w:type="dxa"/>
            <w:vAlign w:val="bottom"/>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w w:val="97"/>
              </w:rPr>
              <w:t>Additional information related to the Company’s operating lease is as follows: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64"/>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Year Ended December 31,</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ind w:right="390"/>
              <w:spacing w:after="0"/>
              <w:rPr>
                <w:sz w:val="20"/>
                <w:szCs w:val="20"/>
                <w:color w:val="auto"/>
              </w:rPr>
            </w:pPr>
            <w:r>
              <w:rPr>
                <w:rFonts w:ascii="Arial" w:cs="Arial" w:eastAsia="Arial" w:hAnsi="Arial"/>
                <w:sz w:val="18"/>
                <w:szCs w:val="18"/>
                <w:i w:val="1"/>
                <w:iCs w:val="1"/>
                <w:color w:val="auto"/>
              </w:rPr>
              <w:t>($ in thousands)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outflows</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871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774</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828</w:t>
            </w:r>
          </w:p>
        </w:tc>
      </w:tr>
      <w:tr>
        <w:trPr>
          <w:trHeight w:val="230"/>
        </w:trPr>
        <w:tc>
          <w:tcPr>
            <w:tcW w:w="20" w:type="dxa"/>
            <w:vAlign w:val="bottom"/>
          </w:tcPr>
          <w:p>
            <w:pPr>
              <w:spacing w:after="0"/>
              <w:rPr>
                <w:sz w:val="20"/>
                <w:szCs w:val="20"/>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ROU assets obtained in exchange for new lease liabilities</w:t>
            </w:r>
          </w:p>
        </w:tc>
        <w:tc>
          <w:tcPr>
            <w:tcW w:w="980" w:type="dxa"/>
            <w:vAlign w:val="bottom"/>
          </w:tcPr>
          <w:p>
            <w:pPr>
              <w:spacing w:after="0"/>
              <w:rPr>
                <w:sz w:val="20"/>
                <w:szCs w:val="20"/>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5,362</w:t>
            </w:r>
          </w:p>
        </w:tc>
      </w:tr>
      <w:tr>
        <w:trPr>
          <w:trHeight w:val="256"/>
        </w:trPr>
        <w:tc>
          <w:tcPr>
            <w:tcW w:w="20" w:type="dxa"/>
            <w:vAlign w:val="bottom"/>
          </w:tcPr>
          <w:p>
            <w:pPr>
              <w:spacing w:after="0"/>
              <w:rPr>
                <w:sz w:val="22"/>
                <w:szCs w:val="22"/>
                <w:color w:val="auto"/>
              </w:rPr>
            </w:pPr>
          </w:p>
        </w:tc>
        <w:tc>
          <w:tcPr>
            <w:tcW w:w="59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7.08</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8.08</w:t>
            </w:r>
          </w:p>
        </w:tc>
      </w:tr>
      <w:tr>
        <w:trPr>
          <w:trHeight w:val="230"/>
        </w:trPr>
        <w:tc>
          <w:tcPr>
            <w:tcW w:w="20" w:type="dxa"/>
            <w:vAlign w:val="bottom"/>
          </w:tcPr>
          <w:p>
            <w:pPr>
              <w:spacing w:after="0"/>
              <w:rPr>
                <w:sz w:val="20"/>
                <w:szCs w:val="20"/>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9"/>
              </w:rPr>
              <w:t>7.72 %</w:t>
            </w:r>
          </w:p>
        </w:tc>
        <w:tc>
          <w:tcPr>
            <w:tcW w:w="320" w:type="dxa"/>
            <w:vAlign w:val="bottom"/>
          </w:tcPr>
          <w:p>
            <w:pPr>
              <w:spacing w:after="0"/>
              <w:rPr>
                <w:sz w:val="20"/>
                <w:szCs w:val="20"/>
                <w:color w:val="auto"/>
              </w:rPr>
            </w:pPr>
          </w:p>
        </w:tc>
        <w:tc>
          <w:tcPr>
            <w:tcW w:w="1800" w:type="dxa"/>
            <w:vAlign w:val="bottom"/>
          </w:tcPr>
          <w:p>
            <w:pPr>
              <w:jc w:val="right"/>
              <w:ind w:right="470"/>
              <w:spacing w:after="0"/>
              <w:rPr>
                <w:sz w:val="20"/>
                <w:szCs w:val="20"/>
                <w:color w:val="auto"/>
              </w:rPr>
            </w:pPr>
            <w:r>
              <w:rPr>
                <w:rFonts w:ascii="Arial" w:cs="Arial" w:eastAsia="Arial" w:hAnsi="Arial"/>
                <w:sz w:val="18"/>
                <w:szCs w:val="18"/>
                <w:color w:val="auto"/>
              </w:rPr>
              <w:t>7.72 %</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7.72 %</w:t>
            </w:r>
          </w:p>
        </w:tc>
      </w:tr>
    </w:tbl>
    <w:p>
      <w:pPr>
        <w:spacing w:after="0" w:line="200" w:lineRule="exact"/>
        <w:rPr>
          <w:sz w:val="20"/>
          <w:szCs w:val="20"/>
          <w:color w:val="auto"/>
        </w:rPr>
      </w:pPr>
    </w:p>
    <w:p>
      <w:pPr>
        <w:spacing w:after="0" w:line="203" w:lineRule="exact"/>
        <w:rPr>
          <w:sz w:val="20"/>
          <w:szCs w:val="20"/>
          <w:color w:val="auto"/>
        </w:rPr>
      </w:pPr>
    </w:p>
    <w:p>
      <w:pPr>
        <w:ind w:right="500"/>
        <w:spacing w:after="0" w:line="287" w:lineRule="auto"/>
        <w:rPr>
          <w:sz w:val="20"/>
          <w:szCs w:val="20"/>
          <w:color w:val="auto"/>
        </w:rPr>
      </w:pPr>
      <w:r>
        <w:rPr>
          <w:rFonts w:ascii="Arial" w:cs="Arial" w:eastAsia="Arial" w:hAnsi="Arial"/>
          <w:sz w:val="17"/>
          <w:szCs w:val="17"/>
          <w:color w:val="auto"/>
        </w:rPr>
        <w:t>The Company’s operating lease ROU asset and lease liability is summarized below. The current and non-current lease liabilities are reflected in other current liabilities and operating lease liabilities, respectively, on the Company’s consolidated balance sheets,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December 31, 2022</w:t>
            </w: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December 31, 2021</w:t>
            </w:r>
          </w:p>
        </w:tc>
      </w:tr>
      <w:tr>
        <w:trPr>
          <w:trHeight w:val="223"/>
        </w:trPr>
        <w:tc>
          <w:tcPr>
            <w:tcW w:w="41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20" w:type="dxa"/>
            <w:vAlign w:val="bottom"/>
            <w:gridSpan w:val="4"/>
          </w:tcPr>
          <w:p>
            <w:pPr>
              <w:jc w:val="right"/>
              <w:ind w:right="1330"/>
              <w:spacing w:after="0"/>
              <w:rPr>
                <w:sz w:val="20"/>
                <w:szCs w:val="20"/>
                <w:color w:val="auto"/>
              </w:rPr>
            </w:pPr>
            <w:r>
              <w:rPr>
                <w:rFonts w:ascii="Arial" w:cs="Arial" w:eastAsia="Arial" w:hAnsi="Arial"/>
                <w:sz w:val="18"/>
                <w:szCs w:val="18"/>
                <w:i w:val="1"/>
                <w:iCs w:val="1"/>
                <w:color w:val="auto"/>
              </w:rPr>
              <w:t>(in thousands)</w:t>
            </w: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r>
      <w:tr>
        <w:trPr>
          <w:trHeight w:val="23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3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right-of-use asset, net</w:t>
            </w:r>
          </w:p>
        </w:tc>
        <w:tc>
          <w:tcPr>
            <w:tcW w:w="3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5,189</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1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3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liabilities</w:t>
            </w:r>
          </w:p>
        </w:tc>
        <w:tc>
          <w:tcPr>
            <w:tcW w:w="3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4,643</w:t>
            </w: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lease liabilities</w:t>
            </w:r>
          </w:p>
        </w:tc>
        <w:tc>
          <w:tcPr>
            <w:tcW w:w="3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5,138</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4180" w:type="dxa"/>
            <w:vAlign w:val="bottom"/>
          </w:tcPr>
          <w:p>
            <w:pPr>
              <w:spacing w:after="0"/>
              <w:rPr>
                <w:sz w:val="24"/>
                <w:szCs w:val="24"/>
                <w:color w:val="auto"/>
              </w:rPr>
            </w:pPr>
          </w:p>
        </w:tc>
        <w:tc>
          <w:tcPr>
            <w:tcW w:w="3340" w:type="dxa"/>
            <w:vAlign w:val="bottom"/>
            <w:gridSpan w:val="2"/>
          </w:tcPr>
          <w:p>
            <w:pPr>
              <w:jc w:val="right"/>
              <w:ind w:right="1630"/>
              <w:spacing w:after="0"/>
              <w:rPr>
                <w:sz w:val="20"/>
                <w:szCs w:val="20"/>
                <w:color w:val="auto"/>
              </w:rPr>
            </w:pPr>
            <w:r>
              <w:rPr>
                <w:rFonts w:ascii="Arial" w:cs="Arial" w:eastAsia="Arial" w:hAnsi="Arial"/>
                <w:sz w:val="18"/>
                <w:szCs w:val="18"/>
                <w:color w:val="auto"/>
              </w:rPr>
              <w:t>F-29</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16"/>
        </w:trPr>
        <w:tc>
          <w:tcPr>
            <w:tcW w:w="8780" w:type="dxa"/>
            <w:vAlign w:val="bottom"/>
          </w:tcPr>
          <w:p>
            <w:pPr>
              <w:ind w:left="4240"/>
              <w:spacing w:after="0"/>
              <w:rPr>
                <w:sz w:val="20"/>
                <w:szCs w:val="20"/>
                <w:color w:val="auto"/>
              </w:rPr>
            </w:pPr>
            <w:r>
              <w:rPr>
                <w:rFonts w:ascii="Arial" w:cs="Arial" w:eastAsia="Arial" w:hAnsi="Arial"/>
                <w:sz w:val="18"/>
                <w:szCs w:val="18"/>
                <w:b w:val="1"/>
                <w:bCs w:val="1"/>
                <w:color w:val="auto"/>
              </w:rPr>
              <w:t>OPEN LENDING CORPORATION</w:t>
            </w:r>
          </w:p>
        </w:tc>
        <w:tc>
          <w:tcPr>
            <w:tcW w:w="2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34"/>
        </w:trPr>
        <w:tc>
          <w:tcPr>
            <w:tcW w:w="8780" w:type="dxa"/>
            <w:vAlign w:val="bottom"/>
          </w:tcPr>
          <w:p>
            <w:pPr>
              <w:ind w:left="3960"/>
              <w:spacing w:after="0"/>
              <w:rPr>
                <w:sz w:val="20"/>
                <w:szCs w:val="20"/>
                <w:color w:val="auto"/>
              </w:rPr>
            </w:pPr>
            <w:r>
              <w:rPr>
                <w:rFonts w:ascii="Arial" w:cs="Arial" w:eastAsia="Arial" w:hAnsi="Arial"/>
                <w:sz w:val="18"/>
                <w:szCs w:val="18"/>
                <w:b w:val="1"/>
                <w:bCs w:val="1"/>
                <w:color w:val="auto"/>
              </w:rPr>
              <w:t>Notes to Consolidated Financial Statements</w:t>
            </w:r>
          </w:p>
        </w:tc>
        <w:tc>
          <w:tcPr>
            <w:tcW w:w="20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783"/>
        </w:trPr>
        <w:tc>
          <w:tcPr>
            <w:tcW w:w="8780" w:type="dxa"/>
            <w:vAlign w:val="bottom"/>
          </w:tcPr>
          <w:p>
            <w:pPr>
              <w:spacing w:after="0"/>
              <w:rPr>
                <w:sz w:val="20"/>
                <w:szCs w:val="20"/>
                <w:color w:val="auto"/>
              </w:rPr>
            </w:pPr>
            <w:r>
              <w:rPr>
                <w:rFonts w:ascii="Arial" w:cs="Arial" w:eastAsia="Arial" w:hAnsi="Arial"/>
                <w:sz w:val="18"/>
                <w:szCs w:val="18"/>
                <w:color w:val="auto"/>
              </w:rPr>
              <w:t>The maturity of the Company’s operating lease liability is as follows:</w:t>
            </w:r>
          </w:p>
        </w:tc>
        <w:tc>
          <w:tcPr>
            <w:tcW w:w="2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64"/>
        </w:trPr>
        <w:tc>
          <w:tcPr>
            <w:tcW w:w="8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As of December 31, 2022</w:t>
            </w:r>
          </w:p>
        </w:tc>
      </w:tr>
      <w:tr>
        <w:trPr>
          <w:trHeight w:val="223"/>
        </w:trPr>
        <w:tc>
          <w:tcPr>
            <w:tcW w:w="8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Pr>
          <w:p>
            <w:pPr>
              <w:jc w:val="right"/>
              <w:ind w:right="630"/>
              <w:spacing w:after="0"/>
              <w:rPr>
                <w:sz w:val="20"/>
                <w:szCs w:val="20"/>
                <w:color w:val="auto"/>
              </w:rPr>
            </w:pPr>
            <w:r>
              <w:rPr>
                <w:rFonts w:ascii="Arial" w:cs="Arial" w:eastAsia="Arial" w:hAnsi="Arial"/>
                <w:sz w:val="18"/>
                <w:szCs w:val="18"/>
                <w:i w:val="1"/>
                <w:iCs w:val="1"/>
                <w:color w:val="auto"/>
              </w:rPr>
              <w:t>(in thousands)</w:t>
            </w:r>
          </w:p>
        </w:tc>
      </w:tr>
      <w:tr>
        <w:trPr>
          <w:trHeight w:val="230"/>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29"/>
        </w:trPr>
        <w:tc>
          <w:tcPr>
            <w:tcW w:w="878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920</w:t>
            </w:r>
          </w:p>
        </w:tc>
      </w:tr>
      <w:tr>
        <w:trPr>
          <w:trHeight w:val="230"/>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r>
      <w:tr>
        <w:trPr>
          <w:trHeight w:val="229"/>
        </w:trPr>
        <w:tc>
          <w:tcPr>
            <w:tcW w:w="878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970</w:t>
            </w:r>
          </w:p>
        </w:tc>
      </w:tr>
      <w:tr>
        <w:trPr>
          <w:trHeight w:val="229"/>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30"/>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r>
      <w:tr>
        <w:trPr>
          <w:trHeight w:val="223"/>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liabilities</w:t>
            </w:r>
          </w:p>
        </w:tc>
        <w:tc>
          <w:tcPr>
            <w:tcW w:w="2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w:t>
            </w:r>
          </w:p>
        </w:tc>
      </w:tr>
      <w:tr>
        <w:trPr>
          <w:trHeight w:val="230"/>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r>
      <w:tr>
        <w:trPr>
          <w:trHeight w:val="248"/>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Present value of lease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4,643</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2022, the Company was not involved in any claim, proceeding or litigation which may be deemed to have a material adverse effect on the Company’s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12—Related Party Transactions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a Stock Repurchase Agreement, dated as of March 29, 2021, between the Company and the selling stockholders, the Company repurchased from the selling stockholders on April 6, 2021 an aggregate number of 612,745 shares of its common stock totaling $20.0 million at the same per share price paid by the underwriters to the selling stockholders in the offering. The $20.0 million stock repurchase was recorded in treasury stock at cost in April of 2021.</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a Stock Repurchase Agreement, dated as of December 7, 2020, between the Company and the selling stockholders, as part of the underwritten public offering as described above, the Company repurchased from the selling stockholders an aggregate number of 1,395,089 shares of the Company’s common stock totaling $37.5 million, at the same per share price paid by the underwriters to the selling stockholders in the offering.</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During the year ended December 31, 2021, the Company made cash payments to certain related parties totaling $18.5 million in connection with the early termination and settlement of the TRA, as discussed in </w:t>
      </w:r>
      <w:r>
        <w:rPr>
          <w:rFonts w:ascii="Arial" w:cs="Arial" w:eastAsia="Arial" w:hAnsi="Arial"/>
          <w:sz w:val="18"/>
          <w:szCs w:val="18"/>
          <w:u w:val="single" w:color="auto"/>
          <w:color w:val="0000FF"/>
        </w:rPr>
        <w:t>Note 15—Tax Receivable Agreement</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13—Retirement Plan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a 401(k) profit-sharing plan (the “401(k) Plan”) for the benefit of all employees who have attained the age of 21 years old and have completed 60 days of service. Eligible employees may contribute to the 401(k) Plan subject to certain limitations. Under the provisions of the 401(k) Plan, the Company will make a safe harbor non-elective contribution equal to 3% of each participant’s compensation and may make discretionary matching contributions, as well as profit-sharing contributions, as determined by management. The Company made no profit-sharing contributions during the years ended December 31, 2022, 2021 and 2020. The Company made safe harbor non-elective contributions of $0.7 million, $0.5 million and $0.4 million to the 401(k) Plan during the years ended December 31, 2022, 2021 and 2020,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14—Income Taxes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years ended December 31, 2022, 2021 and 2020, the Company recognized income tax expense of $26.9 million, $45.1 million and $6.6 million resulting in effective tax rates of 28.8%, 23.6% and (7.2)%, respectively. The Company’s income tax expense for the year ended December 31, 2022 differs from amounts computed by applying the U.S. federal statutory tax rate of 21% primarily due to the impact of state income taxes.</w:t>
      </w:r>
    </w:p>
    <w:p>
      <w:pPr>
        <w:spacing w:after="0" w:line="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income tax expense for the year ended December 31, 2021 differs from amounts computed by applying the U.S. federal statutory tax rate of 21% primarily due to the impact of state income taxes and the gain associated with the extinguishment of the TRA liability. The Company’s income tax expense for the year ended December 31, 2020 differs from amounts computed by applying the U.S. federal statutory tax rate of 21% primarily due to the impact of the change in fair value of the carrying amount of the contingent consideration recorded in the Company’s consolidated statements of operations.</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gridSpan w:val="3"/>
          </w:tcPr>
          <w:p>
            <w:pPr>
              <w:jc w:val="right"/>
              <w:ind w:right="30"/>
              <w:spacing w:after="0"/>
              <w:rPr>
                <w:sz w:val="20"/>
                <w:szCs w:val="20"/>
                <w:color w:val="auto"/>
              </w:rPr>
            </w:pPr>
            <w:r>
              <w:rPr>
                <w:rFonts w:ascii="Arial" w:cs="Arial" w:eastAsia="Arial" w:hAnsi="Arial"/>
                <w:sz w:val="18"/>
                <w:szCs w:val="18"/>
                <w:color w:val="auto"/>
                <w:w w:val="89"/>
              </w:rPr>
              <w:t>The components of the Company’s income tax expense attributable to operations are as follows: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64"/>
        </w:trPr>
        <w:tc>
          <w:tcPr>
            <w:tcW w:w="1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b w:val="1"/>
                <w:bCs w:val="1"/>
                <w:color w:val="auto"/>
                <w:w w:val="90"/>
              </w:rPr>
              <w:t>Year Ended December 31,</w:t>
            </w:r>
          </w:p>
        </w:tc>
        <w:tc>
          <w:tcPr>
            <w:tcW w:w="1080" w:type="dxa"/>
            <w:vAlign w:val="bottom"/>
            <w:tcBorders>
              <w:bottom w:val="single" w:sz="8" w:color="auto"/>
            </w:tcBorders>
          </w:tcPr>
          <w:p>
            <w:pPr>
              <w:spacing w:after="0"/>
              <w:rPr>
                <w:sz w:val="24"/>
                <w:szCs w:val="24"/>
                <w:color w:val="auto"/>
              </w:rPr>
            </w:pPr>
          </w:p>
        </w:tc>
      </w:tr>
      <w:tr>
        <w:trPr>
          <w:trHeight w:val="223"/>
        </w:trPr>
        <w:tc>
          <w:tcPr>
            <w:tcW w:w="1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1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i w:val="1"/>
                <w:iCs w:val="1"/>
                <w:color w:val="auto"/>
                <w:w w:val="91"/>
              </w:rPr>
              <w:t>(in thousands)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tax expense</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Federal</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22,029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19,537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1,234</w:t>
            </w:r>
          </w:p>
        </w:tc>
      </w:tr>
      <w:tr>
        <w:trPr>
          <w:trHeight w:val="229"/>
        </w:trPr>
        <w:tc>
          <w:tcPr>
            <w:tcW w:w="120" w:type="dxa"/>
            <w:vAlign w:val="bottom"/>
          </w:tcPr>
          <w:p>
            <w:pPr>
              <w:spacing w:after="0"/>
              <w:rPr>
                <w:sz w:val="19"/>
                <w:szCs w:val="19"/>
                <w:color w:val="auto"/>
              </w:rPr>
            </w:pPr>
          </w:p>
        </w:tc>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29"/>
        </w:trPr>
        <w:tc>
          <w:tcPr>
            <w:tcW w:w="12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Deferred tax expense (benefit)</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7,463</w:t>
            </w:r>
          </w:p>
        </w:tc>
      </w:tr>
      <w:tr>
        <w:trPr>
          <w:trHeight w:val="229"/>
        </w:trPr>
        <w:tc>
          <w:tcPr>
            <w:tcW w:w="120" w:type="dxa"/>
            <w:vAlign w:val="bottom"/>
          </w:tcPr>
          <w:p>
            <w:pPr>
              <w:spacing w:after="0"/>
              <w:rPr>
                <w:sz w:val="19"/>
                <w:szCs w:val="19"/>
                <w:color w:val="auto"/>
              </w:rPr>
            </w:pPr>
          </w:p>
        </w:tc>
        <w:tc>
          <w:tcPr>
            <w:tcW w:w="65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State</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w:t>
            </w:r>
          </w:p>
        </w:tc>
      </w:tr>
      <w:tr>
        <w:trPr>
          <w:trHeight w:val="248"/>
        </w:trPr>
        <w:tc>
          <w:tcPr>
            <w:tcW w:w="1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6,573</w:t>
            </w:r>
          </w:p>
        </w:tc>
      </w:tr>
      <w:tr>
        <w:trPr>
          <w:trHeight w:val="20"/>
        </w:trPr>
        <w:tc>
          <w:tcPr>
            <w:tcW w:w="1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income tax expense attributable to operations differs from the expected tax benefit amount computed by applying the statutory federal income tax rate to income before taxes is as follows:</w:t>
      </w:r>
    </w:p>
    <w:p>
      <w:pPr>
        <w:spacing w:after="0" w:line="99"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62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auto"/>
            </w:tcBorders>
          </w:tcPr>
          <w:p>
            <w:pPr>
              <w:spacing w:after="0"/>
              <w:rPr>
                <w:sz w:val="19"/>
                <w:szCs w:val="19"/>
                <w:color w:val="auto"/>
              </w:rPr>
            </w:pPr>
          </w:p>
        </w:tc>
      </w:tr>
      <w:tr>
        <w:trPr>
          <w:trHeight w:val="223"/>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expense computed at the statutory rate</w:t>
            </w: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7240" w:type="dxa"/>
            <w:vAlign w:val="bottom"/>
            <w:gridSpan w:val="2"/>
          </w:tcPr>
          <w:p>
            <w:pPr>
              <w:ind w:left="120"/>
              <w:spacing w:after="0"/>
              <w:rPr>
                <w:sz w:val="20"/>
                <w:szCs w:val="20"/>
                <w:color w:val="auto"/>
              </w:rPr>
            </w:pPr>
            <w:r>
              <w:rPr>
                <w:rFonts w:ascii="Arial" w:cs="Arial" w:eastAsia="Arial" w:hAnsi="Arial"/>
                <w:sz w:val="18"/>
                <w:szCs w:val="18"/>
                <w:color w:val="auto"/>
              </w:rPr>
              <w:t>State income taxes</w:t>
            </w:r>
          </w:p>
        </w:tc>
        <w:tc>
          <w:tcPr>
            <w:tcW w:w="38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Gain on extinguishment of tax receivable agreement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7240" w:type="dxa"/>
            <w:vAlign w:val="bottom"/>
            <w:gridSpan w:val="2"/>
          </w:tcPr>
          <w:p>
            <w:pPr>
              <w:ind w:left="120"/>
              <w:spacing w:after="0"/>
              <w:rPr>
                <w:sz w:val="20"/>
                <w:szCs w:val="20"/>
                <w:color w:val="auto"/>
              </w:rPr>
            </w:pPr>
            <w:r>
              <w:rPr>
                <w:rFonts w:ascii="Arial" w:cs="Arial" w:eastAsia="Arial" w:hAnsi="Arial"/>
                <w:sz w:val="18"/>
                <w:szCs w:val="18"/>
                <w:color w:val="auto"/>
              </w:rPr>
              <w:t>Contingent consideration</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 %</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 %</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(30.5) %</w:t>
            </w:r>
          </w:p>
        </w:tc>
      </w:tr>
      <w:tr>
        <w:trPr>
          <w:trHeight w:val="230"/>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4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 (benefit) effective rate</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28.8 %</w:t>
            </w:r>
          </w:p>
        </w:tc>
        <w:tc>
          <w:tcPr>
            <w:tcW w:w="14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23.6 %</w:t>
            </w:r>
          </w:p>
        </w:tc>
        <w:tc>
          <w:tcPr>
            <w:tcW w:w="14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(7.2)%</w:t>
            </w:r>
          </w:p>
        </w:tc>
      </w:tr>
      <w:tr>
        <w:trPr>
          <w:trHeight w:val="20"/>
        </w:trPr>
        <w:tc>
          <w:tcPr>
            <w:tcW w:w="6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state income taxes include an increase in expense associated with the remeasurement of the Company’s deferred tax assets for reduction in estimated tax rates expected to be applied in future years, offset by tax benefits for certain refund claims expected to be filed related to prior period operations.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The components of the Company’s deferred tax assets and liabilities are as follows: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4"/>
        </w:trPr>
        <w:tc>
          <w:tcPr>
            <w:tcW w:w="8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6"/>
              </w:rPr>
              <w:t>Year Ended December 31,</w:t>
            </w:r>
          </w:p>
        </w:tc>
      </w:tr>
      <w:tr>
        <w:trPr>
          <w:trHeight w:val="223"/>
        </w:trPr>
        <w:tc>
          <w:tcPr>
            <w:tcW w:w="8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8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900" w:type="dxa"/>
            <w:vAlign w:val="bottom"/>
          </w:tcPr>
          <w:p>
            <w:pPr>
              <w:spacing w:after="0"/>
              <w:rPr>
                <w:sz w:val="19"/>
                <w:szCs w:val="19"/>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Amortizable intangible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78,296</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88,705</w:t>
            </w:r>
          </w:p>
        </w:tc>
      </w:tr>
      <w:tr>
        <w:trPr>
          <w:trHeight w:val="229"/>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r>
      <w:tr>
        <w:trPr>
          <w:trHeight w:val="230"/>
        </w:trPr>
        <w:tc>
          <w:tcPr>
            <w:tcW w:w="8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Accrued expenses and other</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r>
      <w:tr>
        <w:trPr>
          <w:trHeight w:val="223"/>
        </w:trPr>
        <w:tc>
          <w:tcPr>
            <w:tcW w:w="83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Total deferred tax assets </w:t>
            </w:r>
            <w:r>
              <w:rPr>
                <w:rFonts w:ascii="Arial" w:cs="Arial" w:eastAsia="Arial" w:hAnsi="Arial"/>
                <w:sz w:val="23"/>
                <w:szCs w:val="23"/>
                <w:b w:val="1"/>
                <w:bCs w:val="1"/>
                <w:color w:val="auto"/>
                <w:vertAlign w:val="superscript"/>
              </w:rPr>
              <w:t>(1)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79,972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90,456</w:t>
            </w:r>
          </w:p>
        </w:tc>
      </w:tr>
      <w:tr>
        <w:trPr>
          <w:trHeight w:val="210"/>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Contract assets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(22,923)</w:t>
            </w: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Operating lease right-of-use asset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(1,326)</w:t>
            </w:r>
          </w:p>
        </w:tc>
      </w:tr>
      <w:tr>
        <w:trPr>
          <w:trHeight w:val="229"/>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and equipment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30"/>
        </w:trPr>
        <w:tc>
          <w:tcPr>
            <w:tcW w:w="8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deferred tax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(14,844)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(24,953)</w:t>
            </w:r>
          </w:p>
        </w:tc>
      </w:tr>
      <w:tr>
        <w:trPr>
          <w:trHeight w:val="223"/>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Deferred tax asset, net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65,128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65,503</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240" w:hanging="232"/>
        <w:spacing w:after="0"/>
        <w:tabs>
          <w:tab w:leader="none" w:pos="2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Certain prior year deferred tax component amounts have been reclassified to conform to the current year presentation.</w:t>
      </w:r>
    </w:p>
    <w:p>
      <w:pPr>
        <w:spacing w:after="0" w:line="200" w:lineRule="exact"/>
        <w:rPr>
          <w:rFonts w:ascii="Arial" w:cs="Arial" w:eastAsia="Arial" w:hAnsi="Arial"/>
          <w:sz w:val="16"/>
          <w:szCs w:val="16"/>
          <w:color w:val="auto"/>
        </w:rPr>
      </w:pPr>
    </w:p>
    <w:p>
      <w:pPr>
        <w:spacing w:after="0" w:line="354" w:lineRule="exact"/>
        <w:rPr>
          <w:rFonts w:ascii="Arial" w:cs="Arial" w:eastAsia="Arial" w:hAnsi="Arial"/>
          <w:sz w:val="16"/>
          <w:szCs w:val="16"/>
          <w:color w:val="auto"/>
        </w:rPr>
      </w:pPr>
    </w:p>
    <w:p>
      <w:pPr>
        <w:ind w:left="5460"/>
        <w:spacing w:after="0"/>
        <w:rPr>
          <w:rFonts w:ascii="Arial" w:cs="Arial" w:eastAsia="Arial" w:hAnsi="Arial"/>
          <w:sz w:val="16"/>
          <w:szCs w:val="16"/>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2022, the Company has assessed whether it is more likely than not that the Company’s deferred tax assets will be realized. In making this determination, the Company considers all available positive and negative evidence and makes certain assumptions. The Company considers, among other things, the reversal of its deferred tax liabilities, the overall business environment, its historical earnings and losses, current industry trends and its outlook for future years. The Company believes it is more-likely-than-not all deferred tax assets will be realized and has not recorded any valuation allowance as of December 31, 2022.</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total amount of unrecognized tax benefits as of December 31, 2022 that, if recognized, would impact the effective income tax rate was $3.9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unrecognized tax benefits as of December 31, 2021.</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December 31, 2022, the Company recorded receivables of $5.1 million for estimated state income tax refund claims expected to be filed for prior tax years. The liability for unrecognized tax benefits includes $3.9 million of tax expense associated with these refund claims and tax uncertainties in various state jurisdictions due to the complexity of applying evolving state tax laws and uncertainties with respect to sustaining the Company’s refunds claims. The Company believes it is not reasonably possible that the unrecognized tax benefits will significantly change during the next twelve months.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The Company’s policy is to recognize penalties and interest within general and administrative expenses in the consolidated statements of operations.</w:t>
      </w:r>
    </w:p>
    <w:p>
      <w:pPr>
        <w:spacing w:after="0" w:line="1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files its federal and state income tax returns and some of these returns remain open for examination, with the earliest open years in its key jurisdictions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w:t>
            </w:r>
          </w:p>
        </w:tc>
        <w:tc>
          <w:tcPr>
            <w:tcW w:w="5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r>
      <w:tr>
        <w:trPr>
          <w:trHeight w:val="149"/>
        </w:trPr>
        <w:tc>
          <w:tcPr>
            <w:tcW w:w="6120" w:type="dxa"/>
            <w:vAlign w:val="bottom"/>
          </w:tcPr>
          <w:p>
            <w:pPr>
              <w:spacing w:after="0"/>
              <w:rPr>
                <w:sz w:val="12"/>
                <w:szCs w:val="12"/>
                <w:color w:val="auto"/>
              </w:rPr>
            </w:pPr>
          </w:p>
        </w:tc>
        <w:tc>
          <w:tcPr>
            <w:tcW w:w="5120" w:type="dxa"/>
            <w:vAlign w:val="bottom"/>
          </w:tcPr>
          <w:p>
            <w:pPr>
              <w:spacing w:after="0"/>
              <w:rPr>
                <w:sz w:val="12"/>
                <w:szCs w:val="12"/>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of Texas</w:t>
            </w:r>
          </w:p>
        </w:tc>
        <w:tc>
          <w:tcPr>
            <w:tcW w:w="5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State of New York</w:t>
            </w:r>
          </w:p>
        </w:tc>
        <w:tc>
          <w:tcPr>
            <w:tcW w:w="5120" w:type="dxa"/>
            <w:vAlign w:val="bottom"/>
          </w:tcPr>
          <w:p>
            <w:pPr>
              <w:jc w:val="right"/>
              <w:spacing w:after="0"/>
              <w:rPr>
                <w:sz w:val="20"/>
                <w:szCs w:val="20"/>
                <w:color w:val="auto"/>
              </w:rPr>
            </w:pPr>
            <w:r>
              <w:rPr>
                <w:rFonts w:ascii="Arial" w:cs="Arial" w:eastAsia="Arial" w:hAnsi="Arial"/>
                <w:sz w:val="18"/>
                <w:szCs w:val="18"/>
                <w:color w:val="auto"/>
              </w:rPr>
              <w:t>2017</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of Illinois</w:t>
            </w:r>
          </w:p>
        </w:tc>
        <w:tc>
          <w:tcPr>
            <w:tcW w:w="5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15—Tax Receivable Agreement</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Business Combination, the Company entered into the TRA. The TRA generally provides for the payment by the Company to the Open Lending, LLC unitholders and Blocker’s sole shareholder (the “TRA holders”), as applicable, of 85% of the net cash savings, if any, in U.S. federal, state and local income tax that the Company actually realizes (or is deemed to realize in certain circumstances) in periods after the Closing Date as a result of: (i) certain tax attributes of Blocker and/or Open Lending, LLC that existed prior to the Business Combination and were attributable to the Blocker;</w:t>
      </w:r>
    </w:p>
    <w:p>
      <w:pPr>
        <w:spacing w:after="0" w:line="1" w:lineRule="exact"/>
        <w:rPr>
          <w:sz w:val="20"/>
          <w:szCs w:val="20"/>
          <w:color w:val="auto"/>
        </w:rPr>
      </w:pPr>
    </w:p>
    <w:p>
      <w:pPr>
        <w:jc w:val="both"/>
        <w:ind w:firstLine="8"/>
        <w:spacing w:after="0" w:line="253" w:lineRule="auto"/>
        <w:tabs>
          <w:tab w:leader="none" w:pos="2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increases in the tax basis of Open Lending, LLC’s assets resulting from the Transactions; (iii) imputed interest deemed to be paid by the Company as a result of payments the Company makes under the TRA; and (iv) certain increases in tax basis resulting from payments the Company makes under the TRA. The Company would retain the benefit of the remaining 15% of these cash savings. As of December 31, 2020, the liability related to the TRA was $92.4 million. For the year ending December 31, 2020, other expense,net includes a $4.3 million non-cash charge related to a change in the measurement of the Company’s TRA liability as a result of changes in its blended state tax rate.</w:t>
      </w:r>
    </w:p>
    <w:p>
      <w:pPr>
        <w:spacing w:after="0" w:line="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entered into Amendment No. 1 to the TRA (the “TRA Amendment”) effective April 9, 2021. The TRA Amendment provides that in lieu of early termination payments, the TRA holders are instead entitled to payments equal to 40% of all Tax Benefit Payments (all definitions used herein and otherwise not defined herein shall have the meanings set forth in the TRA Amendment) other than any Actual Interest Amounts that would be required to be paid by the Company under the TRA, using certain valuation. The TRA Amendment provides the Company with the right to terminate and settle all present and future obligations under the TRA with a single payment by the Company to the TRA holders of $36.9 million (the “Early Termination Right”). Absent the TRA Amendment and the exercise of the Early Termination Right, the Company anticipated making TRA payments totaling $92.4 million, undiscounted, over the life of the TRA.</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12, 2021, an independent committee of disinterested members of the Board of Directors approved the Company’s decision to exercise the Early Termination Right. With the early settlement of the TRA, the Company recognized a gain of $55.4 million, which is included in gain on extinguishment of tax receivable agreement in the Company’s consolidated statements of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796"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5540" w:type="dxa"/>
            <w:vAlign w:val="bottom"/>
            <w:gridSpan w:val="4"/>
          </w:tcPr>
          <w:p>
            <w:pPr>
              <w:ind w:left="980"/>
              <w:spacing w:after="0"/>
              <w:rPr>
                <w:sz w:val="20"/>
                <w:szCs w:val="20"/>
                <w:color w:val="auto"/>
              </w:rPr>
            </w:pPr>
            <w:r>
              <w:rPr>
                <w:rFonts w:ascii="Arial" w:cs="Arial" w:eastAsia="Arial" w:hAnsi="Arial"/>
                <w:sz w:val="18"/>
                <w:szCs w:val="18"/>
                <w:b w:val="1"/>
                <w:bCs w:val="1"/>
                <w:color w:val="auto"/>
              </w:rPr>
              <w:t>List of Subsidiaries</w:t>
            </w: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33"/>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Subsidiary</w:t>
            </w:r>
          </w:p>
        </w:tc>
        <w:tc>
          <w:tcPr>
            <w:tcW w:w="342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Jurisdiction</w:t>
            </w:r>
          </w:p>
        </w:tc>
        <w:tc>
          <w:tcPr>
            <w:tcW w:w="22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Ownership</w:t>
            </w:r>
          </w:p>
        </w:tc>
        <w:tc>
          <w:tcPr>
            <w:tcW w:w="360" w:type="dxa"/>
            <w:vAlign w:val="bottom"/>
            <w:tcBorders>
              <w:bottom w:val="single" w:sz="8" w:color="CCEEFF"/>
            </w:tcBorders>
          </w:tcPr>
          <w:p>
            <w:pPr>
              <w:spacing w:after="0"/>
              <w:rPr>
                <w:sz w:val="24"/>
                <w:szCs w:val="24"/>
                <w:color w:val="auto"/>
              </w:rPr>
            </w:pPr>
          </w:p>
        </w:tc>
      </w:tr>
      <w:tr>
        <w:trPr>
          <w:trHeight w:val="257"/>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 Lending, LLC</w:t>
            </w:r>
          </w:p>
        </w:tc>
        <w:tc>
          <w:tcPr>
            <w:tcW w:w="3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Delaware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r>
      <w:tr>
        <w:trPr>
          <w:trHeight w:val="250"/>
        </w:trPr>
        <w:tc>
          <w:tcPr>
            <w:tcW w:w="3900" w:type="dxa"/>
            <w:vAlign w:val="bottom"/>
          </w:tcPr>
          <w:p>
            <w:pPr>
              <w:ind w:left="20"/>
              <w:spacing w:after="0"/>
              <w:rPr>
                <w:sz w:val="20"/>
                <w:szCs w:val="20"/>
                <w:color w:val="auto"/>
              </w:rPr>
            </w:pPr>
            <w:r>
              <w:rPr>
                <w:rFonts w:ascii="Arial" w:cs="Arial" w:eastAsia="Arial" w:hAnsi="Arial"/>
                <w:sz w:val="18"/>
                <w:szCs w:val="18"/>
                <w:color w:val="auto"/>
              </w:rPr>
              <w:t>Lenders Protection, LLC</w:t>
            </w:r>
          </w:p>
        </w:tc>
        <w:tc>
          <w:tcPr>
            <w:tcW w:w="3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gridSpan w:val="2"/>
          </w:tcPr>
          <w:p>
            <w:pPr>
              <w:ind w:left="960"/>
              <w:spacing w:after="0"/>
              <w:rPr>
                <w:sz w:val="20"/>
                <w:szCs w:val="20"/>
                <w:color w:val="auto"/>
              </w:rPr>
            </w:pPr>
            <w:r>
              <w:rPr>
                <w:rFonts w:ascii="Arial" w:cs="Arial" w:eastAsia="Arial" w:hAnsi="Arial"/>
                <w:sz w:val="18"/>
                <w:szCs w:val="18"/>
                <w:color w:val="auto"/>
              </w:rPr>
              <w:t>Delaware</w:t>
            </w:r>
          </w:p>
        </w:tc>
        <w:tc>
          <w:tcPr>
            <w:tcW w:w="1800" w:type="dxa"/>
            <w:vAlign w:val="bottom"/>
            <w:gridSpan w:val="2"/>
          </w:tcPr>
          <w:p>
            <w:pPr>
              <w:jc w:val="right"/>
              <w:ind w:right="110"/>
              <w:spacing w:after="0"/>
              <w:rPr>
                <w:sz w:val="20"/>
                <w:szCs w:val="20"/>
                <w:color w:val="auto"/>
              </w:rPr>
            </w:pPr>
            <w:r>
              <w:rPr>
                <w:rFonts w:ascii="Arial" w:cs="Arial" w:eastAsia="Arial" w:hAnsi="Arial"/>
                <w:sz w:val="18"/>
                <w:szCs w:val="18"/>
                <w:color w:val="auto"/>
              </w:rPr>
              <w:t>100 %</w:t>
            </w:r>
          </w:p>
        </w:tc>
      </w:tr>
      <w:tr>
        <w:trPr>
          <w:trHeight w:val="26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Administrative Services, LLC</w:t>
            </w:r>
          </w:p>
        </w:tc>
        <w:tc>
          <w:tcPr>
            <w:tcW w:w="3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Delaware</w:t>
            </w:r>
          </w:p>
        </w:tc>
        <w:tc>
          <w:tcPr>
            <w:tcW w:w="1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100 %</w:t>
            </w:r>
          </w:p>
        </w:tc>
      </w:tr>
    </w:tbl>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We consent to the incorporation by reference in the Registration Statement (Form S-8 No. 333-250999) pertaining to the Open Lending Corporation 2020 Stock Option and Incentive Plan of Open Lending Corporation of our reports dated February 28, 2023, with respect to the consolidated financial statements of Open Lending Corporation, and the effectiveness of internal control over financial reporting of Open Lending Corporation, included in this Annual Report (Form 10-K) for the year ended December 31,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ectPr>
          <w:pgSz w:w="11900" w:h="16838" w:orient="portrait"/>
          <w:cols w:equalWidth="0" w:num="1">
            <w:col w:w="11240"/>
          </w:cols>
          <w:pgMar w:left="320" w:top="12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Keith A. Jezek, Chief Executive Officer, certify that:</w:t>
      </w:r>
    </w:p>
    <w:p>
      <w:pPr>
        <w:spacing w:after="0" w:line="117" w:lineRule="exact"/>
        <w:rPr>
          <w:sz w:val="20"/>
          <w:szCs w:val="20"/>
          <w:color w:val="auto"/>
        </w:rPr>
      </w:pPr>
    </w:p>
    <w:p>
      <w:pPr>
        <w:ind w:left="980" w:hanging="486"/>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Open Lending Corporation (the "Registrant");</w:t>
      </w:r>
    </w:p>
    <w:p>
      <w:pPr>
        <w:spacing w:after="0" w:line="117" w:lineRule="exact"/>
        <w:rPr>
          <w:sz w:val="20"/>
          <w:szCs w:val="20"/>
          <w:color w:val="auto"/>
        </w:rPr>
      </w:pPr>
    </w:p>
    <w:p>
      <w:pPr>
        <w:jc w:val="both"/>
        <w:ind w:left="980" w:right="60" w:hanging="486"/>
        <w:spacing w:after="0" w:line="263"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sz w:val="20"/>
          <w:szCs w:val="20"/>
          <w:color w:val="auto"/>
        </w:rPr>
      </w:pPr>
    </w:p>
    <w:p>
      <w:pPr>
        <w:ind w:left="980" w:right="20" w:hanging="486"/>
        <w:spacing w:after="0" w:line="308" w:lineRule="auto"/>
        <w:tabs>
          <w:tab w:leader="none" w:pos="975"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sz w:val="20"/>
          <w:szCs w:val="20"/>
          <w:color w:val="auto"/>
        </w:rPr>
      </w:pPr>
    </w:p>
    <w:p>
      <w:pPr>
        <w:ind w:left="980" w:right="120" w:hanging="486"/>
        <w:spacing w:after="0" w:line="263"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460" w:right="120" w:hanging="480"/>
        <w:spacing w:after="0" w:line="286" w:lineRule="auto"/>
        <w:tabs>
          <w:tab w:leader="none" w:pos="1451"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460" w:right="20" w:hanging="480"/>
        <w:spacing w:after="0" w:line="263" w:lineRule="auto"/>
        <w:tabs>
          <w:tab w:leader="none" w:pos="144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460" w:right="40" w:hanging="480"/>
        <w:spacing w:after="0" w:line="342" w:lineRule="auto"/>
        <w:tabs>
          <w:tab w:leader="none" w:pos="1451"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460" w:right="40" w:hanging="480"/>
        <w:spacing w:after="0" w:line="263" w:lineRule="auto"/>
        <w:tabs>
          <w:tab w:leader="none" w:pos="144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6" w:lineRule="exact"/>
        <w:rPr>
          <w:sz w:val="20"/>
          <w:szCs w:val="20"/>
          <w:color w:val="auto"/>
        </w:rPr>
      </w:pPr>
    </w:p>
    <w:p>
      <w:pPr>
        <w:ind w:left="980" w:right="80" w:hanging="486"/>
        <w:spacing w:after="0" w:line="342" w:lineRule="auto"/>
        <w:tabs>
          <w:tab w:leader="none" w:pos="97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460" w:right="340" w:hanging="480"/>
        <w:spacing w:after="0" w:line="342" w:lineRule="auto"/>
        <w:tabs>
          <w:tab w:leader="none" w:pos="1451"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460" w:right="580" w:hanging="480"/>
        <w:spacing w:after="0" w:line="277" w:lineRule="auto"/>
        <w:tabs>
          <w:tab w:leader="none" w:pos="144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Date: February 28, 2023</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A. Jezek</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Keith A. Jezek</w:t>
            </w:r>
          </w:p>
        </w:tc>
      </w:tr>
      <w:tr>
        <w:trPr>
          <w:trHeight w:val="176"/>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07"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D. Jehl, Chief Financial Officer, certify that:</w:t>
      </w:r>
    </w:p>
    <w:p>
      <w:pPr>
        <w:spacing w:after="0" w:line="117" w:lineRule="exact"/>
        <w:rPr>
          <w:sz w:val="20"/>
          <w:szCs w:val="20"/>
          <w:color w:val="auto"/>
        </w:rPr>
      </w:pPr>
    </w:p>
    <w:p>
      <w:pPr>
        <w:ind w:left="980" w:hanging="486"/>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Open Lending Corporation (the "Registrant");</w:t>
      </w:r>
    </w:p>
    <w:p>
      <w:pPr>
        <w:spacing w:after="0" w:line="117" w:lineRule="exact"/>
        <w:rPr>
          <w:sz w:val="20"/>
          <w:szCs w:val="20"/>
          <w:color w:val="auto"/>
        </w:rPr>
      </w:pPr>
    </w:p>
    <w:p>
      <w:pPr>
        <w:jc w:val="both"/>
        <w:ind w:left="980" w:right="60" w:hanging="486"/>
        <w:spacing w:after="0" w:line="263"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sz w:val="20"/>
          <w:szCs w:val="20"/>
          <w:color w:val="auto"/>
        </w:rPr>
      </w:pPr>
    </w:p>
    <w:p>
      <w:pPr>
        <w:ind w:left="980" w:right="20" w:hanging="486"/>
        <w:spacing w:after="0" w:line="308" w:lineRule="auto"/>
        <w:tabs>
          <w:tab w:leader="none" w:pos="975"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sz w:val="20"/>
          <w:szCs w:val="20"/>
          <w:color w:val="auto"/>
        </w:rPr>
      </w:pPr>
    </w:p>
    <w:p>
      <w:pPr>
        <w:ind w:left="980" w:right="120" w:hanging="486"/>
        <w:spacing w:after="0" w:line="263"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460" w:right="120" w:hanging="480"/>
        <w:spacing w:after="0" w:line="286" w:lineRule="auto"/>
        <w:tabs>
          <w:tab w:leader="none" w:pos="1451"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460" w:right="20" w:hanging="480"/>
        <w:spacing w:after="0" w:line="263" w:lineRule="auto"/>
        <w:tabs>
          <w:tab w:leader="none" w:pos="144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460" w:right="40" w:hanging="480"/>
        <w:spacing w:after="0" w:line="342" w:lineRule="auto"/>
        <w:tabs>
          <w:tab w:leader="none" w:pos="1451"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460" w:right="380" w:hanging="480"/>
        <w:spacing w:after="0" w:line="263" w:lineRule="auto"/>
        <w:tabs>
          <w:tab w:leader="none" w:pos="144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6" w:lineRule="exact"/>
        <w:rPr>
          <w:sz w:val="20"/>
          <w:szCs w:val="20"/>
          <w:color w:val="auto"/>
        </w:rPr>
      </w:pPr>
    </w:p>
    <w:p>
      <w:pPr>
        <w:ind w:left="980" w:right="80" w:hanging="486"/>
        <w:spacing w:after="0" w:line="342" w:lineRule="auto"/>
        <w:tabs>
          <w:tab w:leader="none" w:pos="975"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460" w:right="340" w:hanging="480"/>
        <w:spacing w:after="0" w:line="342" w:lineRule="auto"/>
        <w:tabs>
          <w:tab w:leader="none" w:pos="1451"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460" w:right="580" w:hanging="480"/>
        <w:spacing w:after="0" w:line="277" w:lineRule="auto"/>
        <w:tabs>
          <w:tab w:leader="none" w:pos="144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Date: February 28, 2023</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D. Jehl</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176"/>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107"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connection with the Annual Report on Form 10-K for the year ended December 31, 2022 of Open Lending Corporation, a Delaware corporation (the “Company”), as filed with the Securities and Exchange Commission on the date hereof (the “Form 10-K”), I, Keith A. Jezek, Chief Executive Officer of the Company, certify, pursuant to 18 U.S.C. section 1350, as adopted pursuant to section 906 of the Sarbanes-Oxley Act of 2002, that to the best of my knowledge:</w:t>
      </w:r>
    </w:p>
    <w:p>
      <w:pPr>
        <w:spacing w:after="0" w:line="79" w:lineRule="exact"/>
        <w:rPr>
          <w:sz w:val="20"/>
          <w:szCs w:val="20"/>
          <w:color w:val="auto"/>
        </w:rPr>
      </w:pPr>
    </w:p>
    <w:p>
      <w:pPr>
        <w:ind w:left="480" w:hanging="472"/>
        <w:spacing w:after="0"/>
        <w:tabs>
          <w:tab w:leader="none" w:pos="4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Form 10-K fully complies with the requirements of section 13(a) or section 15(d) of the Securities Exchange Act of 1934, as amended; and</w:t>
      </w:r>
    </w:p>
    <w:p>
      <w:pPr>
        <w:spacing w:after="0" w:line="128" w:lineRule="exact"/>
        <w:rPr>
          <w:rFonts w:ascii="Arial" w:cs="Arial" w:eastAsia="Arial" w:hAnsi="Arial"/>
          <w:sz w:val="17"/>
          <w:szCs w:val="17"/>
          <w:color w:val="auto"/>
        </w:rPr>
      </w:pPr>
    </w:p>
    <w:p>
      <w:pPr>
        <w:ind w:left="480" w:hanging="472"/>
        <w:spacing w:after="0"/>
        <w:tabs>
          <w:tab w:leader="none" w:pos="4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Form 10-K fairly presents, in all material respects, the financial condition and results of operations of the Company.</w:t>
      </w:r>
    </w:p>
    <w:p>
      <w:pPr>
        <w:spacing w:after="0" w:line="16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Keith A. Jezek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232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Keith A. Jezek</w:t>
      </w:r>
    </w:p>
    <w:p>
      <w:pPr>
        <w:spacing w:after="0" w:line="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ind w:left="6140"/>
        <w:spacing w:after="0"/>
        <w:rPr>
          <w:sz w:val="20"/>
          <w:szCs w:val="20"/>
          <w:color w:val="auto"/>
        </w:rPr>
      </w:pPr>
      <w:r>
        <w:rPr>
          <w:rFonts w:ascii="Arial" w:cs="Arial" w:eastAsia="Arial" w:hAnsi="Arial"/>
          <w:sz w:val="18"/>
          <w:szCs w:val="18"/>
          <w:color w:val="auto"/>
        </w:rPr>
        <w:t>(Principal Executive Officer)</w:t>
      </w:r>
    </w:p>
    <w:p>
      <w:pPr>
        <w:spacing w:after="0" w:line="182"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Date: February 28, 2023</w:t>
      </w:r>
    </w:p>
    <w:p>
      <w:pPr>
        <w:sectPr>
          <w:pgSz w:w="11900" w:h="16838" w:orient="portrait"/>
          <w:cols w:equalWidth="0" w:num="1">
            <w:col w:w="11240"/>
          </w:cols>
          <w:pgMar w:left="320" w:top="1107"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connection with the Annual Report on Form 10-K for the year ended December 31, 2022 of Open Lending Corporation, a Delaware corporation (the “Company”), as filed with the Securities and Exchange Commission on the date hereof (the “Form 10-K”), I, Charles D. Jehl, Chief Financial Officer of the Company, certify, pursuant to 18 U.S.C. section 1350, as adopted pursuant to section 906 of the Sarbanes-Oxley Act of 2002, that to the best of my knowledge:</w:t>
      </w:r>
    </w:p>
    <w:p>
      <w:pPr>
        <w:spacing w:after="0" w:line="79" w:lineRule="exact"/>
        <w:rPr>
          <w:sz w:val="20"/>
          <w:szCs w:val="20"/>
          <w:color w:val="auto"/>
        </w:rPr>
      </w:pPr>
    </w:p>
    <w:p>
      <w:pPr>
        <w:ind w:left="480" w:hanging="472"/>
        <w:spacing w:after="0"/>
        <w:tabs>
          <w:tab w:leader="none" w:pos="4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Form 10-K fully complies with the requirements of section 13(a) or section 15(d) of the Securities Exchange Act of 1934, as amended; and</w:t>
      </w:r>
    </w:p>
    <w:p>
      <w:pPr>
        <w:spacing w:after="0" w:line="128" w:lineRule="exact"/>
        <w:rPr>
          <w:rFonts w:ascii="Arial" w:cs="Arial" w:eastAsia="Arial" w:hAnsi="Arial"/>
          <w:sz w:val="17"/>
          <w:szCs w:val="17"/>
          <w:color w:val="auto"/>
        </w:rPr>
      </w:pPr>
    </w:p>
    <w:p>
      <w:pPr>
        <w:ind w:left="480" w:hanging="472"/>
        <w:spacing w:after="0"/>
        <w:tabs>
          <w:tab w:leader="none" w:pos="4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Form 10-K fairly presents, in all material respects, the financial condition and results of operations of the Company.</w:t>
      </w:r>
    </w:p>
    <w:p>
      <w:pPr>
        <w:spacing w:after="0" w:line="16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Charles D. Jehl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232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Charles D. Jehl</w:t>
      </w:r>
    </w:p>
    <w:p>
      <w:pPr>
        <w:spacing w:after="0" w:line="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p>
      <w:pPr>
        <w:ind w:left="6140"/>
        <w:spacing w:after="0"/>
        <w:rPr>
          <w:sz w:val="20"/>
          <w:szCs w:val="20"/>
          <w:color w:val="auto"/>
        </w:rPr>
      </w:pPr>
      <w:r>
        <w:rPr>
          <w:rFonts w:ascii="Arial" w:cs="Arial" w:eastAsia="Arial" w:hAnsi="Arial"/>
          <w:sz w:val="18"/>
          <w:szCs w:val="18"/>
          <w:color w:val="auto"/>
        </w:rPr>
        <w:t>(Principal Financial and Accounting Officer)</w:t>
      </w:r>
    </w:p>
    <w:p>
      <w:pPr>
        <w:spacing w:after="0" w:line="182"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Date: February 28, 2023</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decimal"/>
      <w:start w:val="2"/>
    </w:lvl>
  </w:abstractNum>
  <w:abstractNum w:abstractNumId="17">
    <w:nsid w:val="440BADFC"/>
    <w:multiLevelType w:val="hybridMultilevel"/>
    <w:lvl w:ilvl="0">
      <w:lvlJc w:val="left"/>
      <w:lvlText w:val="(%1)"/>
      <w:numFmt w:val="decimal"/>
      <w:start w:val="3"/>
    </w:lvl>
  </w:abstractNum>
  <w:abstractNum w:abstractNumId="18">
    <w:nsid w:val="5072367"/>
    <w:multiLevelType w:val="hybridMultilevel"/>
    <w:lvl w:ilvl="0">
      <w:lvlJc w:val="left"/>
      <w:lvlText w:val="(%1)"/>
      <w:numFmt w:val="lowerRoman"/>
      <w:start w:val="1"/>
    </w:lvl>
  </w:abstractNum>
  <w:abstractNum w:abstractNumId="19">
    <w:nsid w:val="3804823E"/>
    <w:multiLevelType w:val="hybridMultilevel"/>
    <w:lvl w:ilvl="0">
      <w:lvlJc w:val="left"/>
      <w:lvlText w:val="%1"/>
      <w:numFmt w:val="decimal"/>
      <w:start w:val="104"/>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lvl w:ilvl="1">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1)"/>
      <w:numFmt w:val="lowerLetter"/>
      <w:start w:val="6"/>
    </w:lvl>
  </w:abstractNum>
  <w:abstractNum w:abstractNumId="25">
    <w:nsid w:val="51EAD36B"/>
    <w:multiLevelType w:val="hybridMultilevel"/>
    <w:lvl w:ilvl="0">
      <w:lvlJc w:val="left"/>
      <w:lvlText w:val="%1)"/>
      <w:numFmt w:val="lowerRoman"/>
      <w:start w:val="1"/>
    </w:lvl>
  </w:abstractNum>
  <w:abstractNum w:abstractNumId="26">
    <w:nsid w:val="2D517796"/>
    <w:multiLevelType w:val="hybridMultilevel"/>
    <w:lvl w:ilvl="0">
      <w:lvlJc w:val="left"/>
      <w:lvlText w:val="%1)"/>
      <w:numFmt w:val="lowerLetter"/>
      <w:start w:val="10"/>
    </w:lvl>
  </w:abstractNum>
  <w:abstractNum w:abstractNumId="27">
    <w:nsid w:val="580BD78F"/>
    <w:multiLevelType w:val="hybridMultilevel"/>
    <w:lvl w:ilvl="0">
      <w:lvlJc w:val="left"/>
      <w:lvlText w:val="•"/>
      <w:numFmt w:val="bullet"/>
      <w:start w:val="1"/>
    </w:lvl>
    <w:lvl w:ilvl="1">
      <w:lvlJc w:val="left"/>
      <w:lvlText w:val="%2)"/>
      <w:numFmt w:val="lowerLetter"/>
      <w:start w:val="12"/>
    </w:lvl>
  </w:abstractNum>
  <w:abstractNum w:abstractNumId="28">
    <w:nsid w:val="153EA438"/>
    <w:multiLevelType w:val="hybridMultilevel"/>
    <w:lvl w:ilvl="0">
      <w:lvlJc w:val="left"/>
      <w:lvlText w:val="%1)"/>
      <w:numFmt w:val="lowerLetter"/>
      <w:start w:val="18"/>
    </w:lvl>
  </w:abstractNum>
  <w:abstractNum w:abstractNumId="29">
    <w:nsid w:val="3855585C"/>
    <w:multiLevelType w:val="hybridMultilevel"/>
    <w:lvl w:ilvl="0">
      <w:lvlJc w:val="left"/>
      <w:lvlText w:val="%1)"/>
      <w:numFmt w:val="lowerLetter"/>
      <w:start w:val="19"/>
    </w:lvl>
  </w:abstractNum>
  <w:abstractNum w:abstractNumId="30">
    <w:nsid w:val="70A64E2A"/>
    <w:multiLevelType w:val="hybridMultilevel"/>
    <w:lvl w:ilvl="0">
      <w:lvlJc w:val="left"/>
      <w:lvlText w:val="%1)"/>
      <w:numFmt w:val="lowerLetter"/>
      <w:start w:val="20"/>
    </w:lvl>
  </w:abstractNum>
  <w:abstractNum w:abstractNumId="31">
    <w:nsid w:val="6A2342EC"/>
    <w:multiLevelType w:val="hybridMultilevel"/>
    <w:lvl w:ilvl="0">
      <w:lvlJc w:val="left"/>
      <w:lvlText w:val="%1)"/>
      <w:numFmt w:val="lowerLetter"/>
      <w:start w:val="2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1."/>
      <w:numFmt w:val="lowerLetter"/>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lowerRoman"/>
      <w:start w:val="2"/>
    </w:lvl>
  </w:abstractNum>
  <w:abstractNum w:abstractNumId="41">
    <w:nsid w:val="38437FDB"/>
    <w:multiLevelType w:val="hybridMultilevel"/>
    <w:lvl w:ilvl="0">
      <w:lvlJc w:val="left"/>
      <w:lvlText w:val="1"/>
      <w:numFmt w:val="bullet"/>
      <w:start w:val="1"/>
    </w:lvl>
  </w:abstractNum>
  <w:abstractNum w:abstractNumId="42">
    <w:nsid w:val="7644A45C"/>
    <w:multiLevelType w:val="hybridMultilevel"/>
    <w:lvl w:ilvl="0">
      <w:lvlJc w:val="left"/>
      <w:lvlText w:val="2"/>
      <w:numFmt w:val="bullet"/>
      <w:start w:val="1"/>
    </w:lvl>
  </w:abstractNum>
  <w:abstractNum w:abstractNumId="43">
    <w:nsid w:val="32FFF902"/>
    <w:multiLevelType w:val="hybridMultilevel"/>
    <w:lvl w:ilvl="0">
      <w:lvlJc w:val="left"/>
      <w:lvlText w:val="3"/>
      <w:numFmt w:val="bullet"/>
      <w:start w:val="1"/>
    </w:lvl>
  </w:abstractNum>
  <w:abstractNum w:abstractNumId="44">
    <w:nsid w:val="684A481A"/>
    <w:multiLevelType w:val="hybridMultilevel"/>
    <w:lvl w:ilvl="0">
      <w:lvlJc w:val="left"/>
      <w:lvlText w:val="4"/>
      <w:numFmt w:val="bullet"/>
      <w:start w:val="1"/>
    </w:lvl>
    <w:lvl w:ilvl="1">
      <w:lvlJc w:val="left"/>
      <w:lvlText w:val="%2)"/>
      <w:numFmt w:val="lowerLetter"/>
      <w:start w:val="1"/>
    </w:lvl>
  </w:abstractNum>
  <w:abstractNum w:abstractNumId="45">
    <w:nsid w:val="579478FE"/>
    <w:multiLevelType w:val="hybridMultilevel"/>
    <w:lvl w:ilvl="0">
      <w:lvlJc w:val="left"/>
      <w:lvlText w:val="5"/>
      <w:numFmt w:val="bullet"/>
      <w:start w:val="1"/>
    </w:lvl>
    <w:lvl w:ilvl="1">
      <w:lvlJc w:val="left"/>
      <w:lvlText w:val="%2)"/>
      <w:numFmt w:val="lowerLetter"/>
      <w:start w:val="1"/>
    </w:lvl>
  </w:abstractNum>
  <w:abstractNum w:abstractNumId="46">
    <w:nsid w:val="749ABB43"/>
    <w:multiLevelType w:val="hybridMultilevel"/>
    <w:lvl w:ilvl="0">
      <w:lvlJc w:val="left"/>
      <w:lvlText w:val="1"/>
      <w:numFmt w:val="bullet"/>
      <w:start w:val="1"/>
    </w:lvl>
  </w:abstractNum>
  <w:abstractNum w:abstractNumId="47">
    <w:nsid w:val="3DC240FB"/>
    <w:multiLevelType w:val="hybridMultilevel"/>
    <w:lvl w:ilvl="0">
      <w:lvlJc w:val="left"/>
      <w:lvlText w:val="2"/>
      <w:numFmt w:val="bullet"/>
      <w:start w:val="1"/>
    </w:lvl>
  </w:abstractNum>
  <w:abstractNum w:abstractNumId="48">
    <w:nsid w:val="1BA026FA"/>
    <w:multiLevelType w:val="hybridMultilevel"/>
    <w:lvl w:ilvl="0">
      <w:lvlJc w:val="left"/>
      <w:lvlText w:val="3"/>
      <w:numFmt w:val="bullet"/>
      <w:start w:val="1"/>
    </w:lvl>
  </w:abstractNum>
  <w:abstractNum w:abstractNumId="49">
    <w:nsid w:val="79A1DEAA"/>
    <w:multiLevelType w:val="hybridMultilevel"/>
    <w:lvl w:ilvl="0">
      <w:lvlJc w:val="left"/>
      <w:lvlText w:val="4"/>
      <w:numFmt w:val="bullet"/>
      <w:start w:val="1"/>
    </w:lvl>
    <w:lvl w:ilvl="1">
      <w:lvlJc w:val="left"/>
      <w:lvlText w:val="%2)"/>
      <w:numFmt w:val="lowerLetter"/>
      <w:start w:val="1"/>
    </w:lvl>
  </w:abstractNum>
  <w:abstractNum w:abstractNumId="50">
    <w:nsid w:val="75C6C33A"/>
    <w:multiLevelType w:val="hybridMultilevel"/>
    <w:lvl w:ilvl="0">
      <w:lvlJc w:val="left"/>
      <w:lvlText w:val="5"/>
      <w:numFmt w:val="bullet"/>
      <w:start w:val="1"/>
    </w:lvl>
    <w:lvl w:ilvl="1">
      <w:lvlJc w:val="left"/>
      <w:lvlText w:val="%2)"/>
      <w:numFmt w:val="lowerLetter"/>
      <w:start w:val="1"/>
    </w:lvl>
  </w:abstractNum>
  <w:abstractNum w:abstractNumId="51">
    <w:nsid w:val="12E685FB"/>
    <w:multiLevelType w:val="hybridMultilevel"/>
    <w:lvl w:ilvl="0">
      <w:lvlJc w:val="left"/>
      <w:lvlText w:val="(%1)"/>
      <w:numFmt w:val="lowerRoman"/>
      <w:start w:val="1"/>
    </w:lvl>
  </w:abstractNum>
  <w:abstractNum w:abstractNumId="52">
    <w:nsid w:val="70C6A52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9" Type="http://schemas.openxmlformats.org/officeDocument/2006/relationships/image" Target="media/image62.png"/><Relationship Id="rId97" Type="http://schemas.openxmlformats.org/officeDocument/2006/relationships/image" Target="media/image63.png"/><Relationship Id="rId98" Type="http://schemas.openxmlformats.org/officeDocument/2006/relationships/image" Target="media/image64.png"/><Relationship Id="rId105" Type="http://schemas.openxmlformats.org/officeDocument/2006/relationships/image" Target="media/image65.png"/><Relationship Id="rId106" Type="http://schemas.openxmlformats.org/officeDocument/2006/relationships/image" Target="media/image66.png"/><Relationship Id="rId107" Type="http://schemas.openxmlformats.org/officeDocument/2006/relationships/image" Target="media/image67.png"/><Relationship Id="rId108" Type="http://schemas.openxmlformats.org/officeDocument/2006/relationships/image" Target="media/image68.png"/><Relationship Id="rId109" Type="http://schemas.openxmlformats.org/officeDocument/2006/relationships/image" Target="media/image69.png"/><Relationship Id="rId110" Type="http://schemas.openxmlformats.org/officeDocument/2006/relationships/image" Target="media/image70.png"/><Relationship Id="rId111" Type="http://schemas.openxmlformats.org/officeDocument/2006/relationships/image" Target="media/image71.png"/><Relationship Id="rId112" Type="http://schemas.openxmlformats.org/officeDocument/2006/relationships/image" Target="media/image72.png"/><Relationship Id="rId113" Type="http://schemas.openxmlformats.org/officeDocument/2006/relationships/image" Target="media/image73.png"/><Relationship Id="rId114" Type="http://schemas.openxmlformats.org/officeDocument/2006/relationships/image" Target="media/image74.png"/><Relationship Id="rId115" Type="http://schemas.openxmlformats.org/officeDocument/2006/relationships/image" Target="media/image75.png"/><Relationship Id="rId116" Type="http://schemas.openxmlformats.org/officeDocument/2006/relationships/image" Target="media/image76.png"/><Relationship Id="rId117" Type="http://schemas.openxmlformats.org/officeDocument/2006/relationships/image" Target="media/image77.png"/><Relationship Id="rId118"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png"/><Relationship Id="rId123" Type="http://schemas.openxmlformats.org/officeDocument/2006/relationships/image" Target="media/image83.png"/><Relationship Id="rId124" Type="http://schemas.openxmlformats.org/officeDocument/2006/relationships/image" Target="media/image84.png"/><Relationship Id="rId125"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49" Type="http://schemas.openxmlformats.org/officeDocument/2006/relationships/hyperlink" Target="https://www.sec.gov/ix?doc=/Archives/edgar/data/1806201/000162828022004299/lpro-20211231.htm" TargetMode="External"/><Relationship Id="rId70" Type="http://schemas.openxmlformats.org/officeDocument/2006/relationships/hyperlink" Target="http://www.sec.gov/Archives/edgar/data/1806201/000119312520147480/d921991ds4a.htm#annxcov921991_1" TargetMode="External"/><Relationship Id="rId71" Type="http://schemas.openxmlformats.org/officeDocument/2006/relationships/hyperlink" Target="http://www.sec.gov/Archives/edgar/data/1806201/000119312520077321/d856494dex22.htm" TargetMode="External"/><Relationship Id="rId72" Type="http://schemas.openxmlformats.org/officeDocument/2006/relationships/hyperlink" Target="http://www.sec.gov/Archives/edgar/data/1720353/000156459020013631/nebu-ex23_6.htm" TargetMode="External"/><Relationship Id="rId73" Type="http://schemas.openxmlformats.org/officeDocument/2006/relationships/hyperlink" Target="http://www.sec.gov/Archives/edgar/data/1806201/000119312520141686/d921991dex24.htm" TargetMode="External"/><Relationship Id="rId74" Type="http://schemas.openxmlformats.org/officeDocument/2006/relationships/hyperlink" Target="http://www.sec.gov/Archives/edgar/data/1806201/000119312520169633/d941403dex31.htm" TargetMode="External"/><Relationship Id="rId75" Type="http://schemas.openxmlformats.org/officeDocument/2006/relationships/hyperlink" Target="http://www.sec.gov/Archives/edgar/data/1806201/000119312520169633/d941403dex32.htm" TargetMode="External"/><Relationship Id="rId76" Type="http://schemas.openxmlformats.org/officeDocument/2006/relationships/hyperlink" Target="https://www.sec.gov/Archives/edgar/data/1806201/000180620121000012/lpro-20201231xexx44.htm" TargetMode="External"/><Relationship Id="rId77" Type="http://schemas.openxmlformats.org/officeDocument/2006/relationships/hyperlink" Target="http://www.sec.gov/Archives/edgar/data/1720353/000121390020000212/f8k0120ex10-1_nebulaacq.htm" TargetMode="External"/><Relationship Id="rId78" Type="http://schemas.openxmlformats.org/officeDocument/2006/relationships/hyperlink" Target="http://www.sec.gov/Archives/edgar/data/1720353/000119312520077317/d901525dex102.htm" TargetMode="External"/><Relationship Id="rId80" Type="http://schemas.openxmlformats.org/officeDocument/2006/relationships/hyperlink" Target="http://www.sec.gov/Archives/edgar/data/1720353/000121390020011900/ea121740ex10-3_nebulaacq.htm" TargetMode="External"/><Relationship Id="rId81" Type="http://schemas.openxmlformats.org/officeDocument/2006/relationships/hyperlink" Target="http://www.sec.gov/Archives/edgar/data/1720353/000121390020000212/f8k0120ex10-2_nebulaacq.htm" TargetMode="External"/><Relationship Id="rId82" Type="http://schemas.openxmlformats.org/officeDocument/2006/relationships/hyperlink" Target="http://www.sec.gov/Archives/edgar/data/1720353/000121390020000212/f8k0120ex10-3_nebulaacq.htm" TargetMode="External"/><Relationship Id="rId83" Type="http://schemas.openxmlformats.org/officeDocument/2006/relationships/hyperlink" Target="https://www.sec.gov/Archives/edgar/data/1720353/000121390020000212/f8k0120ex10-4_nebulaacq.htm" TargetMode="External"/><Relationship Id="rId84" Type="http://schemas.openxmlformats.org/officeDocument/2006/relationships/hyperlink" Target="http://www.sec.gov/Archives/edgar/data/1806201/000119312520169633/d941403dex107.htm" TargetMode="External"/><Relationship Id="rId85" Type="http://schemas.openxmlformats.org/officeDocument/2006/relationships/hyperlink" Target="https://www.sec.gov/Archives/edgar/data/1806201/000119312521113175/d133759dex101.htm" TargetMode="External"/><Relationship Id="rId86" Type="http://schemas.openxmlformats.org/officeDocument/2006/relationships/hyperlink" Target="http://www.sec.gov/Archives/edgar/data/1806201/000119312520169633/d941403dex108.htm" TargetMode="External"/><Relationship Id="rId87" Type="http://schemas.openxmlformats.org/officeDocument/2006/relationships/hyperlink" Target="https://www.sec.gov/Archives/edgar/data/1806201/000119312521092900/d140091dex101.htm" TargetMode="External"/><Relationship Id="rId88" Type="http://schemas.openxmlformats.org/officeDocument/2006/relationships/hyperlink" Target="https://www.sec.gov/Archives/edgar/data/1806201/000119312522245609/d356460dex101.htm" TargetMode="External"/><Relationship Id="rId89" Type="http://schemas.openxmlformats.org/officeDocument/2006/relationships/hyperlink" Target="http://www.sec.gov/Archives/edgar/data/1806201/000119312520147480/d921991ds4a.htm#annxcov921991_4a" TargetMode="External"/><Relationship Id="rId90" Type="http://schemas.openxmlformats.org/officeDocument/2006/relationships/hyperlink" Target="http://www.sec.gov/Archives/edgar/data/1806201/000119312520169633/d941403dex1012.htm" TargetMode="External"/><Relationship Id="rId91" Type="http://schemas.openxmlformats.org/officeDocument/2006/relationships/hyperlink" Target="http://www.sec.gov/Archives/edgar/data/1806201/000119312520169633/d941403dex1011.htm" TargetMode="External"/><Relationship Id="rId92" Type="http://schemas.openxmlformats.org/officeDocument/2006/relationships/hyperlink" Target="https://www.sec.gov/Archives/edgar/data/1806201/000119312522258957/d408047dex101.htm" TargetMode="External"/><Relationship Id="rId93" Type="http://schemas.openxmlformats.org/officeDocument/2006/relationships/hyperlink" Target="http://www.sec.gov/Archives/edgar/data/1806201/000119312520236303/d34242dex103.htm" TargetMode="External"/><Relationship Id="rId94" Type="http://schemas.openxmlformats.org/officeDocument/2006/relationships/hyperlink" Target="https://www.sec.gov/Archives/edgar/data/1806201/000119312520291800/d88256dex103.htm" TargetMode="External"/><Relationship Id="rId95" Type="http://schemas.openxmlformats.org/officeDocument/2006/relationships/hyperlink" Target="https://www.sec.gov/Archives/edgar/data/1806201/000119312522258957/d408047dex102.htm" TargetMode="External"/><Relationship Id="rId96" Type="http://schemas.openxmlformats.org/officeDocument/2006/relationships/hyperlink" Target="https://www.sec.gov/Archives/edgar/data/1806201/000162828022026565/a22-10x17advisoryandconsul.htm" TargetMode="External"/><Relationship Id="rId99" Type="http://schemas.openxmlformats.org/officeDocument/2006/relationships/hyperlink" Target="https://www.sec.gov/Archives/edgar/data/1806201/000119312520291800/d88256dex104.htm" TargetMode="External"/><Relationship Id="rId100" Type="http://schemas.openxmlformats.org/officeDocument/2006/relationships/hyperlink" Target="https://www.sec.gov/Archives/edgar/data/1806201/000119312520291800/d88256dex105.htm" TargetMode="External"/><Relationship Id="rId101" Type="http://schemas.openxmlformats.org/officeDocument/2006/relationships/hyperlink" Target="https://www.sec.gov/Archives/edgar/data/1806201/000119312520315018/d98682dex102.htm" TargetMode="External"/><Relationship Id="rId102" Type="http://schemas.openxmlformats.org/officeDocument/2006/relationships/hyperlink" Target="https://www.sec.gov/Archives/edgar/data/1806201/000119312521098457/d119516dex1024.htm" TargetMode="External"/><Relationship Id="rId103" Type="http://schemas.openxmlformats.org/officeDocument/2006/relationships/hyperlink" Target="https://www.sec.gov/Archives/edgar/data/1806201/000162828021016812/produceragreementasamended.htm" TargetMode="External"/><Relationship Id="rId104" Type="http://schemas.openxmlformats.org/officeDocument/2006/relationships/hyperlink" Target="https://www.sec.gov/Archives/edgar/data/1806201/000162828022021358/lpro-programmanagementag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2023-03-01T04:51:43Z</dcterms:created>
  <dcterms:modified xsi:type="dcterms:W3CDTF">2023-03-01T04:51:43Z</dcterms:modified>
</cp:coreProperties>
</file>