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5420227.xml.htm"/>
      <w:bookmarkStart w:id="1" w:name="kswkform4_1785420227"/>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2"/>
        <w:gridCol w:w="3572"/>
        <w:gridCol w:w="3061"/>
      </w:tblGrid>
      <w:tr>
        <w:trPr/>
        <w:tc>
          <w:tcPr>
            <w:tcW w:w="3572"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pPr>
                  <w:hyperlink r:id="rId4">
                    <w:r>
                      <w:rPr>
                        <w:rStyle w:val="InternetLink"/>
                      </w:rPr>
                      <w:t>Hegge Thomas K</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OPEN LENDING CORPORATION</w:t>
                  </w:r>
                </w:p>
              </w:tc>
            </w:tr>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1501 S. MOPAC EXPRESSWAY, SUITE 450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AUSTIN</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78746</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Open Lending Corp</w:t>
              </w:r>
            </w:hyperlink>
            <w:r>
              <w:rPr/>
              <w:t xml:space="preserve"> [ </w:t>
            </w:r>
            <w:r>
              <w:rPr>
                <w:rFonts w:ascii="Times;serif" w:hAnsi="Times;serif"/>
                <w:color w:val="0000FF"/>
                <w:sz w:val="24"/>
                <w:shd w:fill="FFFFFF" w:val="clear"/>
              </w:rPr>
              <w:t>LPRO</w:t>
            </w:r>
            <w:r>
              <w:rPr/>
              <w:t xml:space="preserve"> ] </w:t>
              <w:br/>
            </w:r>
            <w:r>
              <w:rPr>
                <w:rFonts w:ascii="arial;helvetica;sans-serif" w:hAnsi="arial;helvetica;sans-serif"/>
                <w:sz w:val="20"/>
              </w:rPr>
              <w:t>Foreign Trading Symbol</w:t>
            </w:r>
          </w:p>
        </w:tc>
        <w:tc>
          <w:tcPr>
            <w:tcW w:w="306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07/28/2026</w:t>
            </w:r>
          </w:p>
        </w:tc>
        <w:tc>
          <w:tcPr>
            <w:tcW w:w="306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2"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1"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7"/>
        <w:gridCol w:w="775"/>
        <w:gridCol w:w="602"/>
        <w:gridCol w:w="353"/>
        <w:gridCol w:w="819"/>
        <w:gridCol w:w="465"/>
        <w:gridCol w:w="679"/>
        <w:gridCol w:w="1183"/>
        <w:gridCol w:w="1012"/>
        <w:gridCol w:w="932"/>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5"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63"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8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1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1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7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8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1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78"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par value $0.01 per share</w:t>
            </w:r>
          </w:p>
        </w:tc>
        <w:tc>
          <w:tcPr>
            <w:tcW w:w="90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07/28/2026</w:t>
            </w:r>
          </w:p>
        </w:tc>
        <w:tc>
          <w:tcPr>
            <w:tcW w:w="77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U</w:t>
            </w:r>
            <w:r>
              <w:rPr>
                <w:rFonts w:ascii="Times;serif" w:hAnsi="Times;serif"/>
                <w:color w:val="008000"/>
                <w:position w:val="7"/>
                <w:sz w:val="16"/>
                <w:sz w:val="20"/>
                <w:shd w:fill="FFFFFF" w:val="clear"/>
              </w:rPr>
              <w:t>(1)</w:t>
            </w:r>
          </w:p>
        </w:tc>
        <w:tc>
          <w:tcPr>
            <w:tcW w:w="35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318</w:t>
            </w:r>
          </w:p>
        </w:tc>
        <w:tc>
          <w:tcPr>
            <w:tcW w:w="46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7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3.15</w:t>
            </w:r>
          </w:p>
        </w:tc>
        <w:tc>
          <w:tcPr>
            <w:tcW w:w="118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w:t>
            </w:r>
          </w:p>
        </w:tc>
        <w:tc>
          <w:tcPr>
            <w:tcW w:w="101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Reporting Person tendered the shares of common stock in exchange for $3.15 per share in cash in the tender offer (the "Offer") made pursuant to the Agreement and Plan of Merger, dated as of June 15, 2026 (the "Merger Agreement"), among the Issuer, ANV Group Holdings Ltd. and Lakers Acquisition Sub, Inc.</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Ben Massey, as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07/30/2026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984750" TargetMode="External"/><Relationship Id="rId5" Type="http://schemas.openxmlformats.org/officeDocument/2006/relationships/hyperlink" Target="http://www.sec.gov/cgi-bin/browse-edgar?action=getcompany&amp;CIK=0001806201"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627</Words>
  <Characters>3361</Characters>
  <CharactersWithSpaces>3920</CharactersWithSpaces>
  <Paragraphs>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