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Cavin William Dabbs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Open Lending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LPRO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OPEN LENDING</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CORPORATION</w:t>
      </w:r>
    </w:p>
    <w:p>
      <w:pPr>
        <w:spacing w:after="0" w:line="56"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1501 S. MOPAC EXPRESSWAY, SUITE 450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AUSTIN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78746</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Ben Massey, as</w:t>
            </w:r>
          </w:p>
        </w:tc>
        <w:tc>
          <w:tcPr>
            <w:tcW w:w="7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u w:val="single" w:color="auto"/>
          <w:color w:val="auto"/>
        </w:rPr>
        <w:t>POWER OF ATTORNEY</w:t>
      </w:r>
    </w:p>
    <w:p>
      <w:pPr>
        <w:spacing w:after="0" w:line="273" w:lineRule="exact"/>
        <w:rPr>
          <w:sz w:val="20"/>
          <w:szCs w:val="20"/>
          <w:color w:val="auto"/>
        </w:rPr>
      </w:pPr>
    </w:p>
    <w:p>
      <w:pPr>
        <w:ind w:right="20" w:firstLine="720"/>
        <w:spacing w:after="0" w:line="284" w:lineRule="auto"/>
        <w:rPr>
          <w:sz w:val="20"/>
          <w:szCs w:val="20"/>
          <w:color w:val="auto"/>
        </w:rPr>
      </w:pPr>
      <w:r>
        <w:rPr>
          <w:rFonts w:ascii="Times New Roman" w:cs="Times New Roman" w:eastAsia="Times New Roman" w:hAnsi="Times New Roman"/>
          <w:sz w:val="24"/>
          <w:szCs w:val="24"/>
          <w:b w:val="1"/>
          <w:bCs w:val="1"/>
          <w:color w:val="auto"/>
        </w:rPr>
        <w:t>KNOW ALL BY THESE PRESENT</w:t>
      </w:r>
      <w:r>
        <w:rPr>
          <w:rFonts w:ascii="Times New Roman" w:cs="Times New Roman" w:eastAsia="Times New Roman" w:hAnsi="Times New Roman"/>
          <w:sz w:val="24"/>
          <w:szCs w:val="24"/>
          <w:color w:val="auto"/>
        </w:rPr>
        <w:t>, that the undersigned hereby constitutes and appoints Ben Massey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as the undersigned’s true and lawful attorney-in-fact to:</w:t>
      </w:r>
    </w:p>
    <w:p>
      <w:pPr>
        <w:spacing w:after="0" w:line="208" w:lineRule="exact"/>
        <w:rPr>
          <w:sz w:val="20"/>
          <w:szCs w:val="20"/>
          <w:color w:val="auto"/>
        </w:rPr>
      </w:pPr>
    </w:p>
    <w:p>
      <w:pPr>
        <w:ind w:left="720" w:right="160" w:firstLine="721"/>
        <w:spacing w:after="0" w:line="258" w:lineRule="auto"/>
        <w:tabs>
          <w:tab w:leader="none" w:pos="19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Open Lending Corporation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highlight w:val="white"/>
        </w:rPr>
        <w:t>”), any and all Forms 3, 4 and 5 required to</w:t>
      </w:r>
      <w:r>
        <w:rPr>
          <w:rFonts w:ascii="Times New Roman" w:cs="Times New Roman" w:eastAsia="Times New Roman" w:hAnsi="Times New Roman"/>
          <w:sz w:val="24"/>
          <w:szCs w:val="24"/>
          <w:color w:val="auto"/>
        </w:rPr>
        <w:t xml:space="preserve"> be filed by the undersigned in accordance with Section 16(a) of the Securities Exchange Act of 1934, as amended (the “</w:t>
      </w:r>
      <w:r>
        <w:rPr>
          <w:rFonts w:ascii="Times New Roman" w:cs="Times New Roman" w:eastAsia="Times New Roman" w:hAnsi="Times New Roman"/>
          <w:sz w:val="24"/>
          <w:szCs w:val="24"/>
          <w:u w:val="single" w:color="auto"/>
          <w:color w:val="auto"/>
        </w:rPr>
        <w:t>Act</w:t>
      </w:r>
      <w:r>
        <w:rPr>
          <w:rFonts w:ascii="Times New Roman" w:cs="Times New Roman" w:eastAsia="Times New Roman" w:hAnsi="Times New Roman"/>
          <w:sz w:val="24"/>
          <w:szCs w:val="24"/>
          <w:color w:val="auto"/>
        </w:rPr>
        <w:t>”) and the rules thereunder;</w:t>
      </w:r>
    </w:p>
    <w:p>
      <w:pPr>
        <w:spacing w:after="0" w:line="193" w:lineRule="exact"/>
        <w:rPr>
          <w:rFonts w:ascii="Times New Roman" w:cs="Times New Roman" w:eastAsia="Times New Roman" w:hAnsi="Times New Roman"/>
          <w:sz w:val="24"/>
          <w:szCs w:val="24"/>
          <w:color w:val="auto"/>
        </w:rPr>
      </w:pPr>
    </w:p>
    <w:p>
      <w:pPr>
        <w:ind w:left="720" w:right="500" w:firstLine="721"/>
        <w:spacing w:after="0" w:line="262" w:lineRule="auto"/>
        <w:tabs>
          <w:tab w:leader="none" w:pos="19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highlight w:val="white"/>
        </w:rPr>
        <w:t>”) and any stock exchange or similar authority; and</w:t>
      </w:r>
    </w:p>
    <w:p>
      <w:pPr>
        <w:spacing w:after="0" w:line="190" w:lineRule="exact"/>
        <w:rPr>
          <w:rFonts w:ascii="Times New Roman" w:cs="Times New Roman" w:eastAsia="Times New Roman" w:hAnsi="Times New Roman"/>
          <w:sz w:val="24"/>
          <w:szCs w:val="24"/>
          <w:color w:val="auto"/>
        </w:rPr>
      </w:pPr>
    </w:p>
    <w:p>
      <w:pPr>
        <w:ind w:left="720" w:right="140" w:firstLine="721"/>
        <w:spacing w:after="0" w:line="259" w:lineRule="auto"/>
        <w:tabs>
          <w:tab w:leader="none" w:pos="19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245"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18" w:lineRule="exact"/>
        <w:rPr>
          <w:sz w:val="20"/>
          <w:szCs w:val="20"/>
          <w:color w:val="auto"/>
        </w:rPr>
      </w:pPr>
    </w:p>
    <w:p>
      <w:pPr>
        <w:ind w:right="80" w:firstLine="720"/>
        <w:spacing w:after="0" w:line="284" w:lineRule="auto"/>
        <w:rPr>
          <w:sz w:val="20"/>
          <w:szCs w:val="20"/>
          <w:color w:val="auto"/>
        </w:rPr>
      </w:pPr>
      <w:r>
        <w:rPr>
          <w:rFonts w:ascii="Times New Roman" w:cs="Times New Roman" w:eastAsia="Times New Roman" w:hAnsi="Times New Roman"/>
          <w:sz w:val="24"/>
          <w:szCs w:val="24"/>
          <w:b w:val="1"/>
          <w:bCs w:val="1"/>
          <w:color w:val="auto"/>
        </w:rPr>
        <w:t>IN WITNESS WHEREOF</w:t>
      </w:r>
      <w:r>
        <w:rPr>
          <w:rFonts w:ascii="Times New Roman" w:cs="Times New Roman" w:eastAsia="Times New Roman" w:hAnsi="Times New Roman"/>
          <w:sz w:val="24"/>
          <w:szCs w:val="24"/>
          <w:color w:val="auto"/>
        </w:rPr>
        <w:t>, the undersigned has caused this Power of Attorney to be executed as of this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23rd day of May, 2026.</w:t>
      </w:r>
    </w:p>
    <w:p>
      <w:pPr>
        <w:spacing w:after="0" w:line="200" w:lineRule="exact"/>
        <w:rPr>
          <w:sz w:val="20"/>
          <w:szCs w:val="20"/>
          <w:color w:val="auto"/>
        </w:rPr>
      </w:pPr>
    </w:p>
    <w:p>
      <w:pPr>
        <w:spacing w:after="0" w:line="278" w:lineRule="exact"/>
        <w:rPr>
          <w:sz w:val="20"/>
          <w:szCs w:val="20"/>
          <w:color w:val="auto"/>
        </w:rPr>
      </w:pPr>
    </w:p>
    <w:p>
      <w:pPr>
        <w:ind w:left="3600"/>
        <w:spacing w:after="0"/>
        <w:tabs>
          <w:tab w:leader="none" w:pos="4220" w:val="left"/>
        </w:tabs>
        <w:rPr>
          <w:sz w:val="20"/>
          <w:szCs w:val="20"/>
          <w:color w:val="auto"/>
        </w:rPr>
      </w:pPr>
      <w:r>
        <w:rPr>
          <w:rFonts w:ascii="Times New Roman" w:cs="Times New Roman" w:eastAsia="Times New Roman" w:hAnsi="Times New Roman"/>
          <w:sz w:val="24"/>
          <w:szCs w:val="24"/>
          <w:color w:val="auto"/>
        </w:rPr>
        <w:t>By:</w:t>
        <w:tab/>
        <w:t>/s/ William Dabbs Cavin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-12700</wp:posOffset>
            </wp:positionV>
            <wp:extent cx="19627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62785" cy="9525"/>
                    </a:xfrm>
                    <a:prstGeom prst="rect">
                      <a:avLst/>
                    </a:prstGeom>
                    <a:noFill/>
                  </pic:spPr>
                </pic:pic>
              </a:graphicData>
            </a:graphic>
          </wp:anchor>
        </w:drawing>
      </w:r>
    </w:p>
    <w:p>
      <w:pPr>
        <w:spacing w:after="0" w:line="15" w:lineRule="exact"/>
        <w:rPr>
          <w:sz w:val="20"/>
          <w:szCs w:val="20"/>
          <w:color w:val="auto"/>
        </w:rPr>
      </w:pPr>
    </w:p>
    <w:p>
      <w:pPr>
        <w:ind w:left="3600"/>
        <w:spacing w:after="0"/>
        <w:tabs>
          <w:tab w:leader="none" w:pos="4460" w:val="left"/>
        </w:tabs>
        <w:rPr>
          <w:sz w:val="20"/>
          <w:szCs w:val="20"/>
          <w:color w:val="auto"/>
        </w:rPr>
      </w:pPr>
      <w:r>
        <w:rPr>
          <w:rFonts w:ascii="Times New Roman" w:cs="Times New Roman" w:eastAsia="Times New Roman" w:hAnsi="Times New Roman"/>
          <w:sz w:val="24"/>
          <w:szCs w:val="24"/>
          <w:color w:val="auto"/>
        </w:rPr>
        <w:t>Name:</w:t>
      </w:r>
      <w:r>
        <w:rPr>
          <w:sz w:val="20"/>
          <w:szCs w:val="20"/>
          <w:color w:val="auto"/>
        </w:rPr>
        <w:tab/>
      </w:r>
      <w:r>
        <w:rPr>
          <w:rFonts w:ascii="Times New Roman" w:cs="Times New Roman" w:eastAsia="Times New Roman" w:hAnsi="Times New Roman"/>
          <w:sz w:val="23"/>
          <w:szCs w:val="23"/>
          <w:color w:val="auto"/>
        </w:rPr>
        <w:t>William Dabbs Cavin</w:t>
      </w:r>
    </w:p>
    <w:sectPr>
      <w:pgSz w:w="11900" w:h="16838" w:orient="portrait"/>
      <w:cols w:equalWidth="0" w:num="1">
        <w:col w:w="10900"/>
      </w:cols>
      <w:pgMar w:left="48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19989" TargetMode="External"/><Relationship Id="rId11" Type="http://schemas.openxmlformats.org/officeDocument/2006/relationships/hyperlink" Target="http://www.sec.gov/cgi-bin/browse-edgar?action=getcompany&amp;CIK=0001806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2026-06-08T16:40:13Z</dcterms:created>
  <dcterms:modified xsi:type="dcterms:W3CDTF">2026-06-08T16:40:13Z</dcterms:modified>
</cp:coreProperties>
</file>