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Name of Issuer: Open Lending Corp.</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68373J104</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15,547,949</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15,547,949</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15,547,949</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13.0%</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Open Lending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ind w:right="4559"/>
        <w:spacing w:after="0" w:line="268" w:lineRule="auto"/>
        <w:rPr>
          <w:sz w:val="20"/>
          <w:szCs w:val="20"/>
          <w:color w:val="auto"/>
        </w:rPr>
      </w:pPr>
      <w:r>
        <w:rPr>
          <w:rFonts w:ascii="Courier New" w:cs="Courier New" w:eastAsia="Courier New" w:hAnsi="Courier New"/>
          <w:sz w:val="16"/>
          <w:szCs w:val="16"/>
          <w:color w:val="auto"/>
        </w:rPr>
        <w:t>1501 S. Mopac Expressway, Ste 450, Austin, TX 78746 Item 2(a): Name of Person Filing: Wasatch Advisors LP</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68373J104</w:t>
      </w:r>
    </w:p>
    <w:p>
      <w:pPr>
        <w:spacing w:after="0" w:line="1" w:lineRule="exact"/>
        <w:rPr>
          <w:sz w:val="24"/>
          <w:szCs w:val="24"/>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p>
      <w:pPr>
        <w:spacing w:after="0"/>
        <w:tabs>
          <w:tab w:leader="none" w:pos="168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Owned: 15,547,949</w:t>
      </w:r>
    </w:p>
    <w:p>
      <w:pPr>
        <w:spacing w:after="0"/>
        <w:tabs>
          <w:tab w:leader="none" w:pos="168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 Owned: 13.0%</w:t>
      </w:r>
    </w:p>
    <w:p>
      <w:pPr>
        <w:spacing w:after="0" w:line="238" w:lineRule="auto"/>
        <w:rPr>
          <w:sz w:val="20"/>
          <w:szCs w:val="20"/>
          <w:color w:val="auto"/>
        </w:rPr>
      </w:pPr>
      <w:r>
        <w:rPr>
          <w:rFonts w:ascii="Courier New" w:cs="Courier New" w:eastAsia="Courier New" w:hAnsi="Courier New"/>
          <w:sz w:val="18"/>
          <w:szCs w:val="18"/>
          <w:color w:val="auto"/>
        </w:rPr>
        <w:t>Item 4(c)(i): Sole Voting Power: 15,547,949</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8" w:lineRule="auto"/>
        <w:rPr>
          <w:sz w:val="20"/>
          <w:szCs w:val="20"/>
          <w:color w:val="auto"/>
        </w:rPr>
      </w:pPr>
      <w:r>
        <w:rPr>
          <w:rFonts w:ascii="Courier New" w:cs="Courier New" w:eastAsia="Courier New" w:hAnsi="Courier New"/>
          <w:sz w:val="18"/>
          <w:szCs w:val="18"/>
          <w:color w:val="auto"/>
        </w:rPr>
        <w:t>Item 4(c)(iii): Sole Dispositive Power: 15,547,949</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8"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line="238" w:lineRule="auto"/>
        <w:rPr>
          <w:sz w:val="20"/>
          <w:szCs w:val="20"/>
          <w:color w:val="auto"/>
        </w:rPr>
      </w:pPr>
      <w:r>
        <w:rPr>
          <w:rFonts w:ascii="Courier New" w:cs="Courier New" w:eastAsia="Courier New" w:hAnsi="Courier New"/>
          <w:sz w:val="18"/>
          <w:szCs w:val="18"/>
          <w:color w:val="auto"/>
        </w:rPr>
        <w:t>Item 7: Identification of Subsidiary: Not Applicable</w:t>
      </w:r>
    </w:p>
    <w:p>
      <w:pPr>
        <w:spacing w:after="0"/>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line="238" w:lineRule="auto"/>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1" w:lineRule="exact"/>
        <w:rPr>
          <w:sz w:val="24"/>
          <w:szCs w:val="24"/>
          <w:color w:val="auto"/>
        </w:rPr>
      </w:pPr>
    </w:p>
    <w:p>
      <w:pPr>
        <w:ind w:right="2119"/>
        <w:spacing w:after="0" w:line="25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December 31, 2023.</w:t>
      </w:r>
    </w:p>
    <w:p>
      <w:pPr>
        <w:spacing w:after="0"/>
        <w:rPr>
          <w:sz w:val="20"/>
          <w:szCs w:val="20"/>
          <w:color w:val="auto"/>
        </w:rPr>
      </w:pPr>
      <w:r>
        <w:rPr>
          <w:rFonts w:ascii="Courier New" w:cs="Courier New" w:eastAsia="Courier New" w:hAnsi="Courier New"/>
          <w:sz w:val="18"/>
          <w:szCs w:val="18"/>
          <w:color w:val="auto"/>
        </w:rPr>
        <w:t>Date: 02/09/24</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2024-02-09T13:27:12Z</dcterms:created>
  <dcterms:modified xsi:type="dcterms:W3CDTF">2024-02-09T13:27:12Z</dcterms:modified>
</cp:coreProperties>
</file>