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32011ds8pos.htm"/>
      <w:bookmarkStart w:id="1" w:name="ksd132011ds8pos"/>
      <w:bookmarkEnd w:id="0"/>
      <w:bookmarkEnd w:id="1"/>
      <w:r>
        <w:rPr>
          <w:rFonts w:ascii="Times New Roman" w:hAnsi="Times New Roman"/>
          <w:b/>
          <w:sz w:val="20"/>
        </w:rPr>
        <w:t xml:space="preserve">As filed with the Securities and Exchange Commission on July 30,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333-250999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S-8 REGISTRATION STATEMENT NO. 333-250999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OPEN LENDING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84-5031428</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1501 S. MoPac Expressway, Suite 450</w:t>
            </w:r>
          </w:p>
          <w:p>
            <w:pPr>
              <w:pStyle w:val="TableContents"/>
              <w:bidi w:val="0"/>
              <w:spacing w:before="0" w:after="20"/>
              <w:jc w:val="center"/>
              <w:rPr>
                <w:rFonts w:ascii="Times New Roman" w:hAnsi="Times New Roman"/>
                <w:b/>
                <w:sz w:val="20"/>
              </w:rPr>
            </w:pPr>
            <w:r>
              <w:rPr>
                <w:rFonts w:ascii="Times New Roman" w:hAnsi="Times New Roman"/>
                <w:b/>
                <w:sz w:val="20"/>
              </w:rPr>
              <w:t>Austin, Texas</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78746</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Open Lending Corporation 2020 Stock Option and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Ben Massey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Counsel and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1501 S. MoPac Expressway, Suite 450 </w:t>
      </w:r>
    </w:p>
    <w:p>
      <w:pPr>
        <w:pStyle w:val="TextBody"/>
        <w:bidi w:val="0"/>
        <w:spacing w:before="0" w:after="0"/>
        <w:jc w:val="center"/>
        <w:rPr>
          <w:rFonts w:ascii="Times New Roman" w:hAnsi="Times New Roman"/>
          <w:b/>
          <w:sz w:val="20"/>
        </w:rPr>
      </w:pPr>
      <w:r>
        <w:rPr>
          <w:rFonts w:ascii="Times New Roman" w:hAnsi="Times New Roman"/>
          <w:b/>
          <w:sz w:val="20"/>
        </w:rPr>
        <w:t xml:space="preserve">Austin, Texas 78746 </w:t>
      </w:r>
    </w:p>
    <w:p>
      <w:pPr>
        <w:pStyle w:val="TextBody"/>
        <w:bidi w:val="0"/>
        <w:spacing w:before="0" w:after="0"/>
        <w:jc w:val="center"/>
        <w:rPr>
          <w:rFonts w:ascii="Times New Roman" w:hAnsi="Times New Roman"/>
          <w:b/>
          <w:sz w:val="20"/>
        </w:rPr>
      </w:pPr>
      <w:r>
        <w:rPr>
          <w:rFonts w:ascii="Times New Roman" w:hAnsi="Times New Roman"/>
          <w:b/>
          <w:sz w:val="20"/>
        </w:rPr>
        <w:t xml:space="preserve">(512) 892-0400 </w:t>
      </w:r>
    </w:p>
    <w:p>
      <w:pPr>
        <w:pStyle w:val="TextBody"/>
        <w:bidi w:val="0"/>
        <w:spacing w:before="0" w:after="0"/>
        <w:jc w:val="center"/>
        <w:rPr>
          <w:rFonts w:ascii="Times New Roman" w:hAnsi="Times New Roman"/>
          <w:b/>
          <w:sz w:val="20"/>
        </w:rPr>
      </w:pPr>
      <w:r>
        <w:rPr>
          <w:rFonts w:ascii="Times New Roman" w:hAnsi="Times New Roman"/>
          <w:b/>
          <w:sz w:val="20"/>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center"/>
              <w:rPr>
                <w:rFonts w:ascii="Times New Roman" w:hAnsi="Times New Roman"/>
                <w:b/>
                <w:sz w:val="20"/>
              </w:rPr>
            </w:pPr>
            <w:r>
              <w:rPr>
                <w:rFonts w:ascii="Times New Roman" w:hAnsi="Times New Roman"/>
                <w:b/>
                <w:sz w:val="20"/>
              </w:rPr>
              <w:t>Adam M. Givertz</w:t>
            </w:r>
          </w:p>
          <w:p>
            <w:pPr>
              <w:pStyle w:val="TableContents"/>
              <w:bidi w:val="0"/>
              <w:spacing w:before="0" w:after="0"/>
              <w:jc w:val="center"/>
              <w:rPr>
                <w:rFonts w:ascii="Times New Roman" w:hAnsi="Times New Roman"/>
                <w:b/>
                <w:sz w:val="20"/>
              </w:rPr>
            </w:pPr>
            <w:r>
              <w:rPr>
                <w:rFonts w:ascii="Times New Roman" w:hAnsi="Times New Roman"/>
                <w:b/>
                <w:sz w:val="20"/>
              </w:rPr>
              <w:t>Paul, Weiss, Rifkind, Wharton &amp; Garrison LLP</w:t>
            </w:r>
          </w:p>
          <w:p>
            <w:pPr>
              <w:pStyle w:val="TableContents"/>
              <w:bidi w:val="0"/>
              <w:spacing w:before="0" w:after="0"/>
              <w:jc w:val="center"/>
              <w:rPr>
                <w:rFonts w:ascii="Times New Roman" w:hAnsi="Times New Roman"/>
                <w:b/>
                <w:sz w:val="20"/>
              </w:rPr>
            </w:pPr>
            <w:r>
              <w:rPr>
                <w:rFonts w:ascii="Times New Roman" w:hAnsi="Times New Roman"/>
                <w:b/>
                <w:sz w:val="20"/>
              </w:rPr>
              <w:t>1285 Avenue of the Americas</w:t>
            </w:r>
          </w:p>
          <w:p>
            <w:pPr>
              <w:pStyle w:val="TableContents"/>
              <w:bidi w:val="0"/>
              <w:spacing w:before="0" w:after="0"/>
              <w:jc w:val="center"/>
              <w:rPr>
                <w:rFonts w:ascii="Times New Roman" w:hAnsi="Times New Roman"/>
                <w:b/>
                <w:sz w:val="20"/>
              </w:rPr>
            </w:pPr>
            <w:r>
              <w:rPr>
                <w:rFonts w:ascii="Times New Roman" w:hAnsi="Times New Roman"/>
                <w:b/>
                <w:sz w:val="20"/>
              </w:rPr>
              <w:t>New York, NY 10019</w:t>
            </w:r>
          </w:p>
          <w:p>
            <w:pPr>
              <w:pStyle w:val="TableContents"/>
              <w:bidi w:val="0"/>
              <w:spacing w:before="0" w:after="20"/>
              <w:jc w:val="center"/>
              <w:rPr>
                <w:rFonts w:ascii="Times New Roman" w:hAnsi="Times New Roman"/>
                <w:b/>
                <w:sz w:val="20"/>
              </w:rPr>
            </w:pPr>
            <w:r>
              <w:rPr>
                <w:rFonts w:ascii="Times New Roman" w:hAnsi="Times New Roman"/>
                <w:b/>
                <w:sz w:val="20"/>
              </w:rPr>
              <w:t>(212) 373-3000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DEREGISTRATION OF SECURITIES </w:t>
      </w:r>
    </w:p>
    <w:p>
      <w:pPr>
        <w:pStyle w:val="TextBody"/>
        <w:bidi w:val="0"/>
        <w:spacing w:before="240" w:after="0"/>
        <w:jc w:val="left"/>
        <w:rPr/>
      </w:pPr>
      <w:r>
        <w:rPr>
          <w:rFonts w:ascii="Times New Roman" w:hAnsi="Times New Roman"/>
          <w:sz w:val="20"/>
        </w:rPr>
        <w:t xml:space="preserve">Open Lending Corporation (the “Company”) is filing this post-effective amendment (this “Post-Effective Amendment”) to the Registration Statement on </w:t>
      </w:r>
      <w:hyperlink r:id="rId2">
        <w:r>
          <w:rPr>
            <w:rStyle w:val="InternetLink"/>
            <w:rFonts w:ascii="Times New Roman" w:hAnsi="Times New Roman"/>
            <w:sz w:val="20"/>
          </w:rPr>
          <w:t>Form S-8</w:t>
        </w:r>
      </w:hyperlink>
      <w:r>
        <w:rPr>
          <w:rFonts w:ascii="Times New Roman" w:hAnsi="Times New Roman"/>
          <w:sz w:val="20"/>
        </w:rPr>
        <w:t xml:space="preserve"> (File No. 333-250999) (the “Registration Statement”), which has been previously filed with the Securities and Exchange Commission on November 27, 2020, relating to the Open Lending Corporation 2020 Stock Option and Incentive Plan, to deregister any and all securities of the Company registered but remaining unsold or otherwise unissued under the Registration Statement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On July 30, 2026, Lakers Acquisition Sub, Inc., a Delaware corporation (“Merger Sub”) and indirect wholly-owned subsidiary of ANV Group Holdings Ltd., a private limited company incorporated under the laws of England and Wales (“ANV”), completed its merger (the “Merger”) with and into the Company, pursuant to the terms of the Agreement and Plan of Merger, dated June 15, 2026 (as it may be amended from time to time, the “Merger Agreement”), by and among ANV, Merger Sub, and the Company. The Company was the surviving corporation in the Merger and, as a result, is now an indirect wholly-owned subsidiary of ANV. </w:t>
      </w:r>
    </w:p>
    <w:p>
      <w:pPr>
        <w:pStyle w:val="TextBody"/>
        <w:bidi w:val="0"/>
        <w:spacing w:before="240" w:after="0"/>
        <w:jc w:val="left"/>
        <w:rPr>
          <w:rFonts w:ascii="Times New Roman" w:hAnsi="Times New Roman"/>
          <w:sz w:val="20"/>
        </w:rPr>
      </w:pPr>
      <w:r>
        <w:rPr>
          <w:rFonts w:ascii="Times New Roman" w:hAnsi="Times New Roman"/>
          <w:sz w:val="20"/>
        </w:rPr>
        <w:t>As a result of the Merger, the Company has terminated all offerings of its securities pursuant to the Registration Statement. In accordance with an undertaking made by the Company in the Registration Statement to remove from registration, by means of this Post-Effective Amendment, any securities that had been registered but remain unsold at the termination of the offering, the Company hereby amends the Registration Statement to remove from registration all securities, as applicable, registered under the Registration Statement that remain unsold as of the date of this Post-Effective Amendment.</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Post-Effective Amendment to the Registration Statement to be signed on its behalf by the undersigned, thereunto duly authorized, in the City of Austin, State of Texas, on July 30,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Open Lending Corporation</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6" w:type="dxa"/>
            <w:tcBorders>
              <w:bottom w:val="single" w:sz="2" w:space="0" w:color="000000"/>
            </w:tcBorders>
            <w:tcMar>
              <w:bottom w:w="28" w:type="dxa"/>
            </w:tcMar>
            <w:vAlign w:val="bottom"/>
          </w:tcPr>
          <w:p>
            <w:pPr>
              <w:pStyle w:val="TableContents"/>
              <w:bidi w:val="0"/>
              <w:spacing w:before="0" w:after="283"/>
              <w:jc w:val="left"/>
              <w:rPr/>
            </w:pPr>
            <w:r>
              <w:rPr/>
              <w:t>/s/ Ben Massey</w:t>
            </w:r>
          </w:p>
        </w:tc>
      </w:tr>
      <w:tr>
        <w:trPr/>
        <w:tc>
          <w:tcPr>
            <w:tcW w:w="705"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Ben Massey</w:t>
            </w:r>
          </w:p>
        </w:tc>
      </w:tr>
      <w:tr>
        <w:trPr/>
        <w:tc>
          <w:tcPr>
            <w:tcW w:w="705"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General Counsel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other person is required to sign this Post-Effective Amendment in reliance on Rule 478 of the Securities Act of 1933.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6201/000119312520304532/d16443ds8.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636</Words>
  <Characters>3544</Characters>
  <CharactersWithSpaces>4185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