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1" w:lineRule="exact"/>
        <w:rPr>
          <w:sz w:val="24"/>
          <w:szCs w:val="24"/>
          <w:color w:val="auto"/>
        </w:rPr>
      </w:pPr>
    </w:p>
    <w:p>
      <w:pPr>
        <w:ind w:left="460" w:right="240" w:hanging="434"/>
        <w:spacing w:after="0" w:line="28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460" w:right="240" w:hanging="434"/>
        <w:spacing w:after="0" w:line="28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460" w:type="dxa"/>
        <w:tblCellMar>
          <w:top w:w="0" w:type="dxa"/>
          <w:left w:w="0" w:type="dxa"/>
          <w:bottom w:w="0" w:type="dxa"/>
          <w:right w:w="0" w:type="dxa"/>
        </w:tblCellMar>
      </w:tblP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r>
      <w:tr>
        <w:trPr>
          <w:trHeight w:val="208"/>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r>
      <w:tr>
        <w:trPr>
          <w:trHeight w:val="216"/>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Suite 450</w:t>
            </w:r>
          </w:p>
        </w:tc>
        <w:tc>
          <w:tcPr>
            <w:tcW w:w="3040" w:type="dxa"/>
            <w:vAlign w:val="bottom"/>
          </w:tcPr>
          <w:p>
            <w:pPr>
              <w:spacing w:after="0"/>
              <w:rPr>
                <w:sz w:val="18"/>
                <w:szCs w:val="18"/>
                <w:color w:val="auto"/>
              </w:rPr>
            </w:pPr>
          </w:p>
        </w:tc>
      </w:tr>
      <w:tr>
        <w:trPr>
          <w:trHeight w:val="247"/>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78746</w:t>
            </w:r>
          </w:p>
        </w:tc>
      </w:tr>
      <w:tr>
        <w:trPr>
          <w:trHeight w:val="229"/>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r>
    </w:tbl>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05"/>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55"/>
        </w:trPr>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LPRO</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66" w:lineRule="exact"/>
        <w:rPr>
          <w:sz w:val="24"/>
          <w:szCs w:val="24"/>
          <w:color w:val="auto"/>
        </w:rPr>
      </w:pPr>
    </w:p>
    <w:p>
      <w:pPr>
        <w:jc w:val="both"/>
        <w:ind w:firstLine="486"/>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0" w:lineRule="exact"/>
        <w:rPr>
          <w:sz w:val="24"/>
          <w:szCs w:val="24"/>
          <w:color w:val="auto"/>
        </w:rPr>
      </w:pPr>
    </w:p>
    <w:p>
      <w:pPr>
        <w:ind w:right="20" w:firstLine="486"/>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365" w:right="339" w:bottom="0" w:gutter="0" w:footer="0" w:header="0"/>
        </w:sectPr>
      </w:pPr>
    </w:p>
    <w:bookmarkStart w:id="1" w:name="page2"/>
    <w:bookmarkEnd w:id="1"/>
    <w:p>
      <w:pPr>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5, 2025, the registrant had 119,786,421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1133475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92075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117475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420"/>
          </w:cols>
          <w:pgMar w:left="820" w:top="81"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24"/>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440" w:type="dxa"/>
            <w:vAlign w:val="bottom"/>
            <w:gridSpan w:val="5"/>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60" w:type="dxa"/>
            <w:vAlign w:val="bottom"/>
            <w:gridSpan w:val="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720" w:type="dxa"/>
            <w:vAlign w:val="bottom"/>
            <w:gridSpan w:val="3"/>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gridSpan w:val="6"/>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4"/>
                <w:szCs w:val="24"/>
                <w:color w:val="auto"/>
              </w:rPr>
            </w:pPr>
          </w:p>
        </w:tc>
        <w:tc>
          <w:tcPr>
            <w:tcW w:w="6200" w:type="dxa"/>
            <w:vAlign w:val="bottom"/>
            <w:gridSpan w:val="11"/>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4"/>
                <w:szCs w:val="24"/>
                <w:color w:val="auto"/>
              </w:rPr>
            </w:pPr>
          </w:p>
        </w:tc>
        <w:tc>
          <w:tcPr>
            <w:tcW w:w="6700" w:type="dxa"/>
            <w:vAlign w:val="bottom"/>
            <w:gridSpan w:val="1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3340" w:type="dxa"/>
            <w:vAlign w:val="bottom"/>
            <w:gridSpan w:val="4"/>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5640" w:type="dxa"/>
            <w:vAlign w:val="bottom"/>
            <w:gridSpan w:val="10"/>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60" w:type="dxa"/>
            <w:vAlign w:val="bottom"/>
            <w:gridSpan w:val="12"/>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35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959"/>
        <w:spacing w:after="0"/>
        <w:tabs>
          <w:tab w:leader="none" w:pos="22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24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OPEN LENDING CORPORATION</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240" w:type="dxa"/>
            <w:vAlign w:val="bottom"/>
          </w:tcPr>
          <w:p>
            <w:pPr>
              <w:jc w:val="center"/>
              <w:ind w:left="2110"/>
              <w:spacing w:after="0"/>
              <w:rPr>
                <w:sz w:val="20"/>
                <w:szCs w:val="20"/>
                <w:color w:val="auto"/>
              </w:rPr>
            </w:pPr>
            <w:r>
              <w:rPr>
                <w:rFonts w:ascii="Arial" w:cs="Arial" w:eastAsia="Arial" w:hAnsi="Arial"/>
                <w:sz w:val="18"/>
                <w:szCs w:val="18"/>
                <w:b w:val="1"/>
                <w:bCs w:val="1"/>
                <w:color w:val="auto"/>
              </w:rPr>
              <w:t>Condensed Consolidated Balance Sheets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24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240" w:type="dxa"/>
            <w:vAlign w:val="bottom"/>
          </w:tcPr>
          <w:p>
            <w:pPr>
              <w:jc w:val="center"/>
              <w:ind w:left="2130"/>
              <w:spacing w:after="0"/>
              <w:rPr>
                <w:sz w:val="20"/>
                <w:szCs w:val="20"/>
                <w:color w:val="auto"/>
              </w:rPr>
            </w:pPr>
            <w:r>
              <w:rPr>
                <w:rFonts w:ascii="Arial" w:cs="Arial" w:eastAsia="Arial" w:hAnsi="Arial"/>
                <w:sz w:val="18"/>
                <w:szCs w:val="18"/>
                <w:b w:val="1"/>
                <w:bCs w:val="1"/>
                <w:color w:val="auto"/>
                <w:w w:val="99"/>
              </w:rPr>
              <w:t>(In thousands, except share data)</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14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5"/>
        </w:trPr>
        <w:tc>
          <w:tcPr>
            <w:tcW w:w="14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41"/>
        </w:trPr>
        <w:tc>
          <w:tcPr>
            <w:tcW w:w="1400" w:type="dxa"/>
            <w:vAlign w:val="bottom"/>
          </w:tcPr>
          <w:p>
            <w:pPr>
              <w:spacing w:after="0"/>
              <w:rPr>
                <w:sz w:val="3"/>
                <w:szCs w:val="3"/>
                <w:color w:val="auto"/>
              </w:rPr>
            </w:pPr>
          </w:p>
        </w:tc>
        <w:tc>
          <w:tcPr>
            <w:tcW w:w="6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243,164</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Current contract assets, net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277,787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275,725</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Capitalized software development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Operating lease right-of-use assets, net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296,368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Current portion of debt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Third-party claims administration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Current portion of excess profit share receipts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56"/>
        </w:trPr>
        <w:tc>
          <w:tcPr>
            <w:tcW w:w="764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44,698</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47,252</w:t>
            </w:r>
          </w:p>
        </w:tc>
        <w:tc>
          <w:tcPr>
            <w:tcW w:w="0" w:type="dxa"/>
            <w:vAlign w:val="bottom"/>
          </w:tcPr>
          <w:p>
            <w:pPr>
              <w:spacing w:after="0"/>
              <w:rPr>
                <w:sz w:val="1"/>
                <w:szCs w:val="1"/>
                <w:color w:val="auto"/>
              </w:rPr>
            </w:pPr>
          </w:p>
        </w:tc>
      </w:tr>
      <w:tr>
        <w:trPr>
          <w:trHeight w:val="258"/>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Long-term debt, net of deferred financing costs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132,217</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Excess profit share receipts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28,210</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224,394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218,281</w:t>
            </w:r>
          </w:p>
        </w:tc>
        <w:tc>
          <w:tcPr>
            <w:tcW w:w="0" w:type="dxa"/>
            <w:vAlign w:val="bottom"/>
          </w:tcPr>
          <w:p>
            <w:pPr>
              <w:spacing w:after="0"/>
              <w:rPr>
                <w:sz w:val="1"/>
                <w:szCs w:val="1"/>
                <w:color w:val="auto"/>
              </w:rPr>
            </w:pP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7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Preferred stock, $0.01 par value; 10,000,000 shares authorized, none issued and</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Common stock, $0.01 par value; 550,000,000 shares authorized, 128,198,185 shares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issued and 119,782,899 shares outstanding as of March 31, 2025 and 128,198,185 shares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issued and 119,350,001 shares outstanding as of December 31, 2024</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502,664</w:t>
            </w:r>
          </w:p>
        </w:tc>
        <w:tc>
          <w:tcPr>
            <w:tcW w:w="0" w:type="dxa"/>
            <w:vAlign w:val="bottom"/>
          </w:tcPr>
          <w:p>
            <w:pPr>
              <w:spacing w:after="0"/>
              <w:rPr>
                <w:sz w:val="1"/>
                <w:szCs w:val="1"/>
                <w:color w:val="auto"/>
              </w:rPr>
            </w:pPr>
          </w:p>
        </w:tc>
      </w:tr>
      <w:tr>
        <w:trPr>
          <w:trHeight w:val="247"/>
        </w:trPr>
        <w:tc>
          <w:tcPr>
            <w:tcW w:w="7640" w:type="dxa"/>
            <w:vAlign w:val="bottom"/>
            <w:gridSpan w:val="2"/>
          </w:tcPr>
          <w:p>
            <w:pPr>
              <w:ind w:left="2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(328,759)</w:t>
            </w:r>
          </w:p>
        </w:tc>
        <w:tc>
          <w:tcPr>
            <w:tcW w:w="0" w:type="dxa"/>
            <w:vAlign w:val="bottom"/>
          </w:tcPr>
          <w:p>
            <w:pPr>
              <w:spacing w:after="0"/>
              <w:rPr>
                <w:sz w:val="1"/>
                <w:szCs w:val="1"/>
                <w:color w:val="auto"/>
              </w:rPr>
            </w:pPr>
          </w:p>
        </w:tc>
      </w:tr>
      <w:tr>
        <w:trPr>
          <w:trHeight w:val="23"/>
        </w:trPr>
        <w:tc>
          <w:tcPr>
            <w:tcW w:w="76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Treasury stock at cost, 8,415,286 shares at March 31, 2025 and 8,848,184 shares at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December 31, 2024</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79,829</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78,087</w:t>
            </w:r>
          </w:p>
        </w:tc>
        <w:tc>
          <w:tcPr>
            <w:tcW w:w="0" w:type="dxa"/>
            <w:vAlign w:val="bottom"/>
          </w:tcPr>
          <w:p>
            <w:pPr>
              <w:spacing w:after="0"/>
              <w:rPr>
                <w:sz w:val="1"/>
                <w:szCs w:val="1"/>
                <w:color w:val="auto"/>
              </w:rPr>
            </w:pPr>
          </w:p>
        </w:tc>
      </w:tr>
      <w:tr>
        <w:trPr>
          <w:trHeight w:val="289"/>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296,368</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2"/>
        </w:trPr>
        <w:tc>
          <w:tcPr>
            <w:tcW w:w="6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618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OPEN LENDING CORPORATION</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54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18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(Unaudited)</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7"/>
        </w:trPr>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180" w:type="dxa"/>
            <w:vAlign w:val="bottom"/>
          </w:tcPr>
          <w:p>
            <w:pPr>
              <w:jc w:val="center"/>
              <w:ind w:left="2170"/>
              <w:spacing w:after="0"/>
              <w:rPr>
                <w:sz w:val="20"/>
                <w:szCs w:val="20"/>
                <w:color w:val="auto"/>
              </w:rPr>
            </w:pPr>
            <w:r>
              <w:rPr>
                <w:rFonts w:ascii="Arial" w:cs="Arial" w:eastAsia="Arial" w:hAnsi="Arial"/>
                <w:sz w:val="18"/>
                <w:szCs w:val="18"/>
                <w:b w:val="1"/>
                <w:bCs w:val="1"/>
                <w:color w:val="auto"/>
              </w:rPr>
              <w:t>(In thousands, except per share data)</w:t>
            </w: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670"/>
        </w:trPr>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0" w:type="dxa"/>
            <w:vAlign w:val="bottom"/>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6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57"/>
        </w:trPr>
        <w:tc>
          <w:tcPr>
            <w:tcW w:w="60" w:type="dxa"/>
            <w:vAlign w:val="bottom"/>
          </w:tcPr>
          <w:p>
            <w:pPr>
              <w:spacing w:after="0"/>
              <w:rPr>
                <w:sz w:val="22"/>
                <w:szCs w:val="22"/>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7"/>
        </w:trPr>
        <w:tc>
          <w:tcPr>
            <w:tcW w:w="60" w:type="dxa"/>
            <w:vAlign w:val="bottom"/>
          </w:tcPr>
          <w:p>
            <w:pPr>
              <w:spacing w:after="0"/>
              <w:rPr>
                <w:sz w:val="21"/>
                <w:szCs w:val="21"/>
                <w:color w:val="auto"/>
              </w:rPr>
            </w:pPr>
          </w:p>
        </w:tc>
        <w:tc>
          <w:tcPr>
            <w:tcW w:w="7520" w:type="dxa"/>
            <w:vAlign w:val="bottom"/>
            <w:gridSpan w:val="2"/>
          </w:tcPr>
          <w:p>
            <w:pPr>
              <w:ind w:left="280"/>
              <w:spacing w:after="0"/>
              <w:rPr>
                <w:sz w:val="20"/>
                <w:szCs w:val="20"/>
                <w:color w:val="auto"/>
              </w:rPr>
            </w:pPr>
            <w:r>
              <w:rPr>
                <w:rFonts w:ascii="Arial" w:cs="Arial" w:eastAsia="Arial" w:hAnsi="Arial"/>
                <w:sz w:val="18"/>
                <w:szCs w:val="18"/>
                <w:color w:val="auto"/>
              </w:rPr>
              <w:t>Program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15,210</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14,309</w:t>
            </w:r>
          </w:p>
        </w:tc>
      </w:tr>
      <w:tr>
        <w:trPr>
          <w:trHeight w:val="23"/>
        </w:trPr>
        <w:tc>
          <w:tcPr>
            <w:tcW w:w="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Profit share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r>
      <w:tr>
        <w:trPr>
          <w:trHeight w:val="247"/>
        </w:trPr>
        <w:tc>
          <w:tcPr>
            <w:tcW w:w="60" w:type="dxa"/>
            <w:vAlign w:val="bottom"/>
          </w:tcPr>
          <w:p>
            <w:pPr>
              <w:spacing w:after="0"/>
              <w:rPr>
                <w:sz w:val="21"/>
                <w:szCs w:val="21"/>
                <w:color w:val="auto"/>
              </w:rPr>
            </w:pPr>
          </w:p>
        </w:tc>
        <w:tc>
          <w:tcPr>
            <w:tcW w:w="7520" w:type="dxa"/>
            <w:vAlign w:val="bottom"/>
            <w:gridSpan w:val="2"/>
          </w:tcPr>
          <w:p>
            <w:pPr>
              <w:ind w:left="280"/>
              <w:spacing w:after="0"/>
              <w:rPr>
                <w:sz w:val="20"/>
                <w:szCs w:val="20"/>
                <w:color w:val="auto"/>
              </w:rPr>
            </w:pPr>
            <w:r>
              <w:rPr>
                <w:rFonts w:ascii="Arial" w:cs="Arial" w:eastAsia="Arial" w:hAnsi="Arial"/>
                <w:sz w:val="18"/>
                <w:szCs w:val="18"/>
                <w:color w:val="auto"/>
              </w:rPr>
              <w:t>Claims administration and other service fees</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3"/>
        </w:trPr>
        <w:tc>
          <w:tcPr>
            <w:tcW w:w="60" w:type="dxa"/>
            <w:vAlign w:val="bottom"/>
          </w:tcPr>
          <w:p>
            <w:pPr>
              <w:spacing w:after="0"/>
              <w:rPr>
                <w:sz w:val="2"/>
                <w:szCs w:val="2"/>
                <w:color w:val="auto"/>
              </w:rPr>
            </w:pPr>
          </w:p>
        </w:tc>
        <w:tc>
          <w:tcPr>
            <w:tcW w:w="75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24,393</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r>
      <w:tr>
        <w:trPr>
          <w:trHeight w:val="247"/>
        </w:trPr>
        <w:tc>
          <w:tcPr>
            <w:tcW w:w="60" w:type="dxa"/>
            <w:vAlign w:val="bottom"/>
          </w:tcPr>
          <w:p>
            <w:pPr>
              <w:spacing w:after="0"/>
              <w:rPr>
                <w:sz w:val="21"/>
                <w:szCs w:val="21"/>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6,084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5,750</w:t>
            </w:r>
          </w:p>
        </w:tc>
      </w:tr>
      <w:tr>
        <w:trPr>
          <w:trHeight w:val="23"/>
        </w:trPr>
        <w:tc>
          <w:tcPr>
            <w:tcW w:w="60" w:type="dxa"/>
            <w:vAlign w:val="bottom"/>
          </w:tcPr>
          <w:p>
            <w:pPr>
              <w:spacing w:after="0"/>
              <w:rPr>
                <w:sz w:val="2"/>
                <w:szCs w:val="2"/>
                <w:color w:val="auto"/>
              </w:rPr>
            </w:pPr>
          </w:p>
        </w:tc>
        <w:tc>
          <w:tcPr>
            <w:tcW w:w="752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18,309</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24,995</w:t>
            </w:r>
          </w:p>
        </w:tc>
      </w:tr>
      <w:tr>
        <w:trPr>
          <w:trHeight w:val="263"/>
        </w:trPr>
        <w:tc>
          <w:tcPr>
            <w:tcW w:w="60" w:type="dxa"/>
            <w:vAlign w:val="bottom"/>
          </w:tcPr>
          <w:p>
            <w:pPr>
              <w:spacing w:after="0"/>
              <w:rPr>
                <w:sz w:val="22"/>
                <w:szCs w:val="22"/>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8"/>
        </w:trPr>
        <w:tc>
          <w:tcPr>
            <w:tcW w:w="60" w:type="dxa"/>
            <w:vAlign w:val="bottom"/>
          </w:tcPr>
          <w:p>
            <w:pPr>
              <w:spacing w:after="0"/>
              <w:rPr>
                <w:sz w:val="22"/>
                <w:szCs w:val="22"/>
                <w:color w:val="auto"/>
              </w:rPr>
            </w:pPr>
          </w:p>
        </w:tc>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r>
      <w:tr>
        <w:trPr>
          <w:trHeight w:val="247"/>
        </w:trPr>
        <w:tc>
          <w:tcPr>
            <w:tcW w:w="60" w:type="dxa"/>
            <w:vAlign w:val="bottom"/>
          </w:tcPr>
          <w:p>
            <w:pPr>
              <w:spacing w:after="0"/>
              <w:rPr>
                <w:sz w:val="21"/>
                <w:szCs w:val="21"/>
                <w:color w:val="auto"/>
              </w:rPr>
            </w:pPr>
          </w:p>
        </w:tc>
        <w:tc>
          <w:tcPr>
            <w:tcW w:w="7520" w:type="dxa"/>
            <w:vAlign w:val="bottom"/>
            <w:gridSpan w:val="2"/>
          </w:tcPr>
          <w:p>
            <w:pPr>
              <w:ind w:left="2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4,214</w:t>
            </w:r>
          </w:p>
        </w:tc>
      </w:tr>
      <w:tr>
        <w:trPr>
          <w:trHeight w:val="23"/>
        </w:trPr>
        <w:tc>
          <w:tcPr>
            <w:tcW w:w="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57"/>
        </w:trPr>
        <w:tc>
          <w:tcPr>
            <w:tcW w:w="60" w:type="dxa"/>
            <w:vAlign w:val="bottom"/>
          </w:tcPr>
          <w:p>
            <w:pPr>
              <w:spacing w:after="0"/>
              <w:rPr>
                <w:sz w:val="22"/>
                <w:szCs w:val="22"/>
                <w:color w:val="auto"/>
              </w:rPr>
            </w:pPr>
          </w:p>
        </w:tc>
        <w:tc>
          <w:tcPr>
            <w:tcW w:w="752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17,547</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17,672</w:t>
            </w:r>
          </w:p>
        </w:tc>
      </w:tr>
      <w:tr>
        <w:trPr>
          <w:trHeight w:val="270"/>
        </w:trPr>
        <w:tc>
          <w:tcPr>
            <w:tcW w:w="60" w:type="dxa"/>
            <w:vAlign w:val="bottom"/>
          </w:tcPr>
          <w:p>
            <w:pPr>
              <w:spacing w:after="0"/>
              <w:rPr>
                <w:sz w:val="23"/>
                <w:szCs w:val="23"/>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7,323</w:t>
            </w:r>
          </w:p>
        </w:tc>
      </w:tr>
      <w:tr>
        <w:trPr>
          <w:trHeight w:val="247"/>
        </w:trPr>
        <w:tc>
          <w:tcPr>
            <w:tcW w:w="60" w:type="dxa"/>
            <w:vAlign w:val="bottom"/>
          </w:tcPr>
          <w:p>
            <w:pPr>
              <w:spacing w:after="0"/>
              <w:rPr>
                <w:sz w:val="21"/>
                <w:szCs w:val="21"/>
                <w:color w:val="auto"/>
              </w:rPr>
            </w:pPr>
          </w:p>
        </w:tc>
        <w:tc>
          <w:tcPr>
            <w:tcW w:w="75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3"/>
        </w:trPr>
        <w:tc>
          <w:tcPr>
            <w:tcW w:w="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r>
      <w:tr>
        <w:trPr>
          <w:trHeight w:val="256"/>
        </w:trPr>
        <w:tc>
          <w:tcPr>
            <w:tcW w:w="60" w:type="dxa"/>
            <w:vAlign w:val="bottom"/>
          </w:tcPr>
          <w:p>
            <w:pPr>
              <w:spacing w:after="0"/>
              <w:rPr>
                <w:sz w:val="22"/>
                <w:szCs w:val="22"/>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673</w:t>
            </w:r>
          </w:p>
        </w:tc>
        <w:tc>
          <w:tcPr>
            <w:tcW w:w="1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7,524</w:t>
            </w:r>
          </w:p>
        </w:tc>
      </w:tr>
      <w:tr>
        <w:trPr>
          <w:trHeight w:val="278"/>
        </w:trPr>
        <w:tc>
          <w:tcPr>
            <w:tcW w:w="60" w:type="dxa"/>
            <w:vAlign w:val="bottom"/>
          </w:tcPr>
          <w:p>
            <w:pPr>
              <w:spacing w:after="0"/>
              <w:rPr>
                <w:sz w:val="24"/>
                <w:szCs w:val="24"/>
                <w:color w:val="auto"/>
              </w:rPr>
            </w:pPr>
          </w:p>
        </w:tc>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57"/>
        </w:trPr>
        <w:tc>
          <w:tcPr>
            <w:tcW w:w="60" w:type="dxa"/>
            <w:vAlign w:val="bottom"/>
          </w:tcPr>
          <w:p>
            <w:pPr>
              <w:spacing w:after="0"/>
              <w:rPr>
                <w:sz w:val="22"/>
                <w:szCs w:val="22"/>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5,087</w:t>
            </w:r>
          </w:p>
        </w:tc>
      </w:tr>
      <w:tr>
        <w:trPr>
          <w:trHeight w:val="20"/>
        </w:trPr>
        <w:tc>
          <w:tcPr>
            <w:tcW w:w="60" w:type="dxa"/>
            <w:vAlign w:val="bottom"/>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75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
        </w:trPr>
        <w:tc>
          <w:tcPr>
            <w:tcW w:w="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62"/>
        </w:trPr>
        <w:tc>
          <w:tcPr>
            <w:tcW w:w="60" w:type="dxa"/>
            <w:vAlign w:val="bottom"/>
          </w:tcPr>
          <w:p>
            <w:pPr>
              <w:spacing w:after="0"/>
              <w:rPr>
                <w:sz w:val="22"/>
                <w:szCs w:val="22"/>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8"/>
        </w:trPr>
        <w:tc>
          <w:tcPr>
            <w:tcW w:w="60" w:type="dxa"/>
            <w:vAlign w:val="bottom"/>
          </w:tcPr>
          <w:p>
            <w:pPr>
              <w:spacing w:after="0"/>
              <w:rPr>
                <w:sz w:val="22"/>
                <w:szCs w:val="22"/>
                <w:color w:val="auto"/>
              </w:rPr>
            </w:pPr>
          </w:p>
        </w:tc>
        <w:tc>
          <w:tcPr>
            <w:tcW w:w="75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119,451</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118,926</w:t>
            </w:r>
          </w:p>
        </w:tc>
      </w:tr>
      <w:tr>
        <w:trPr>
          <w:trHeight w:val="247"/>
        </w:trPr>
        <w:tc>
          <w:tcPr>
            <w:tcW w:w="60" w:type="dxa"/>
            <w:vAlign w:val="bottom"/>
          </w:tcPr>
          <w:p>
            <w:pPr>
              <w:spacing w:after="0"/>
              <w:rPr>
                <w:sz w:val="21"/>
                <w:szCs w:val="21"/>
                <w:color w:val="auto"/>
              </w:rPr>
            </w:pPr>
          </w:p>
        </w:tc>
        <w:tc>
          <w:tcPr>
            <w:tcW w:w="752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119,629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119,416</w:t>
            </w:r>
          </w:p>
        </w:tc>
      </w:tr>
    </w:tbl>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Additional</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Accumulated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20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9"/>
              </w:rPr>
              <w:t>Paid-in</w:t>
            </w:r>
          </w:p>
        </w:tc>
        <w:tc>
          <w:tcPr>
            <w:tcW w:w="1320" w:type="dxa"/>
            <w:vAlign w:val="bottom"/>
            <w:gridSpan w:val="3"/>
            <w:vMerge w:val="continue"/>
          </w:tcPr>
          <w:p>
            <w:pPr>
              <w:spacing w:after="0"/>
              <w:rPr>
                <w:sz w:val="9"/>
                <w:szCs w:val="9"/>
                <w:color w:val="auto"/>
              </w:rPr>
            </w:pPr>
          </w:p>
        </w:tc>
        <w:tc>
          <w:tcPr>
            <w:tcW w:w="210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Treasury Stock</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Deficit</w:t>
            </w:r>
          </w:p>
        </w:tc>
        <w:tc>
          <w:tcPr>
            <w:tcW w:w="2100" w:type="dxa"/>
            <w:vAlign w:val="bottom"/>
            <w:gridSpan w:val="5"/>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160" w:type="dxa"/>
            <w:vAlign w:val="bottom"/>
          </w:tcPr>
          <w:p>
            <w:pPr>
              <w:spacing w:after="0"/>
              <w:rPr>
                <w:sz w:val="21"/>
                <w:szCs w:val="21"/>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Amount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1"/>
                <w:szCs w:val="21"/>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3"/>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128,198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502,664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(328,759)</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78,087</w:t>
            </w:r>
          </w:p>
        </w:tc>
        <w:tc>
          <w:tcPr>
            <w:tcW w:w="0" w:type="dxa"/>
            <w:vAlign w:val="bottom"/>
          </w:tcPr>
          <w:p>
            <w:pPr>
              <w:spacing w:after="0"/>
              <w:rPr>
                <w:sz w:val="1"/>
                <w:szCs w:val="1"/>
                <w:color w:val="auto"/>
              </w:rPr>
            </w:pPr>
          </w:p>
        </w:tc>
      </w:tr>
      <w:tr>
        <w:trPr>
          <w:trHeight w:val="247"/>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issued, net of</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7"/>
        </w:trPr>
        <w:tc>
          <w:tcPr>
            <w:tcW w:w="3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March 31, 2025</w:t>
      </w:r>
    </w:p>
    <w:p>
      <w:pPr>
        <w:spacing w:after="0" w:line="200" w:lineRule="exact"/>
        <w:rPr>
          <w:sz w:val="20"/>
          <w:szCs w:val="20"/>
          <w:color w:val="auto"/>
        </w:rPr>
      </w:pPr>
    </w:p>
    <w:p>
      <w:pPr>
        <w:spacing w:after="0" w:line="309" w:lineRule="exact"/>
        <w:rPr>
          <w:sz w:val="20"/>
          <w:szCs w:val="20"/>
          <w:color w:val="auto"/>
        </w:rPr>
      </w:pPr>
    </w:p>
    <w:p>
      <w:pPr>
        <w:ind w:left="20"/>
        <w:spacing w:after="0" w:line="313" w:lineRule="auto"/>
        <w:rPr>
          <w:sz w:val="20"/>
          <w:szCs w:val="20"/>
          <w:color w:val="auto"/>
        </w:rPr>
      </w:pPr>
      <w:r>
        <w:rPr>
          <w:rFonts w:ascii="Arial" w:cs="Arial" w:eastAsia="Arial" w:hAnsi="Arial"/>
          <w:sz w:val="18"/>
          <w:szCs w:val="18"/>
          <w:b w:val="1"/>
          <w:bCs w:val="1"/>
          <w:color w:val="auto"/>
        </w:rPr>
        <w:t xml:space="preserve">Balance as of December 31, 2023 </w:t>
      </w:r>
      <w:r>
        <w:rPr>
          <w:rFonts w:ascii="Arial" w:cs="Arial" w:eastAsia="Arial" w:hAnsi="Arial"/>
          <w:sz w:val="18"/>
          <w:szCs w:val="18"/>
          <w:color w:val="auto"/>
        </w:rPr>
        <w:t>Share-based compensation</w:t>
      </w:r>
    </w:p>
    <w:p>
      <w:pPr>
        <w:ind w:left="20"/>
        <w:spacing w:after="0" w:line="281" w:lineRule="auto"/>
        <w:rPr>
          <w:sz w:val="20"/>
          <w:szCs w:val="20"/>
          <w:color w:val="auto"/>
        </w:rPr>
      </w:pPr>
      <w:r>
        <w:rPr>
          <w:rFonts w:ascii="Arial" w:cs="Arial" w:eastAsia="Arial" w:hAnsi="Arial"/>
          <w:sz w:val="18"/>
          <w:szCs w:val="18"/>
          <w:color w:val="auto"/>
        </w:rPr>
        <w:t>Restricted stock units issued, net of shares withheld for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128,198</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1,282</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497,884</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(328,142)</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(8,415)</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(91,195)</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79,829</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53"/>
        </w:trPr>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128,198</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1,282</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502,032</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(193,749)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(9,378)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(103,985)</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205,580</w:t>
            </w:r>
          </w:p>
        </w:tc>
      </w:tr>
      <w:tr>
        <w:trPr>
          <w:trHeight w:val="26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378"/>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-567690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-224790</wp:posOffset>
            </wp:positionV>
            <wp:extent cx="71151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860" w:space="300"/>
            <w:col w:w="8060"/>
          </w:cols>
          <w:pgMar w:left="320" w:top="175" w:right="35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5,087</w:t>
            </w:r>
          </w:p>
        </w:tc>
        <w:tc>
          <w:tcPr>
            <w:tcW w:w="8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3"/>
        </w:trPr>
        <w:tc>
          <w:tcPr>
            <w:tcW w:w="3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128,198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498,617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(188,662)</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211,538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7"/>
        </w:trPr>
        <w:tc>
          <w:tcPr>
            <w:tcW w:w="7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Non-cash operating lease cost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7"/>
        </w:trPr>
        <w:tc>
          <w:tcPr>
            <w:tcW w:w="7640" w:type="dxa"/>
            <w:vAlign w:val="bottom"/>
          </w:tcPr>
          <w:p>
            <w:pPr>
              <w:ind w:left="20"/>
              <w:spacing w:after="0"/>
              <w:rPr>
                <w:sz w:val="20"/>
                <w:szCs w:val="20"/>
                <w:color w:val="auto"/>
              </w:rPr>
            </w:pPr>
            <w:r>
              <w:rPr>
                <w:rFonts w:ascii="Arial" w:cs="Arial" w:eastAsia="Arial" w:hAnsi="Arial"/>
                <w:sz w:val="18"/>
                <w:szCs w:val="18"/>
                <w:color w:val="auto"/>
              </w:rPr>
              <w:t>Changes in operating assets &amp; liabilities: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Contract assets, net</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Excess profit share receipts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
        </w:trPr>
        <w:tc>
          <w:tcPr>
            <w:tcW w:w="7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r>
      <w:tr>
        <w:trPr>
          <w:trHeight w:val="262"/>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8"/>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
        </w:trPr>
        <w:tc>
          <w:tcPr>
            <w:tcW w:w="7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8"/>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 on term loans</w:t>
            </w:r>
          </w:p>
        </w:tc>
        <w:tc>
          <w:tcPr>
            <w:tcW w:w="3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47"/>
        </w:trPr>
        <w:tc>
          <w:tcPr>
            <w:tcW w:w="7640" w:type="dxa"/>
            <w:vAlign w:val="bottom"/>
          </w:tcPr>
          <w:p>
            <w:pPr>
              <w:ind w:left="360"/>
              <w:spacing w:after="0"/>
              <w:rPr>
                <w:sz w:val="20"/>
                <w:szCs w:val="20"/>
                <w:color w:val="auto"/>
              </w:rPr>
            </w:pPr>
            <w:r>
              <w:rPr>
                <w:rFonts w:ascii="Arial" w:cs="Arial" w:eastAsia="Arial" w:hAnsi="Arial"/>
                <w:sz w:val="18"/>
                <w:szCs w:val="18"/>
                <w:color w:val="auto"/>
              </w:rPr>
              <w:t>Shares withheld for taxes related to restricted stock units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
        </w:trPr>
        <w:tc>
          <w:tcPr>
            <w:tcW w:w="7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(1,959)</w:t>
            </w:r>
          </w:p>
        </w:tc>
      </w:tr>
      <w:tr>
        <w:trPr>
          <w:trHeight w:val="240"/>
        </w:trPr>
        <w:tc>
          <w:tcPr>
            <w:tcW w:w="76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and restricted cash</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8,405</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the beginning of the period</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246,669</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246,847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255,074</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7"/>
        </w:trPr>
        <w:tc>
          <w:tcPr>
            <w:tcW w:w="7640" w:type="dxa"/>
            <w:vAlign w:val="bottom"/>
          </w:tcPr>
          <w:p>
            <w:pPr>
              <w:ind w:left="240"/>
              <w:spacing w:after="0"/>
              <w:rPr>
                <w:sz w:val="20"/>
                <w:szCs w:val="20"/>
                <w:color w:val="auto"/>
              </w:rPr>
            </w:pPr>
            <w:r>
              <w:rPr>
                <w:rFonts w:ascii="Arial" w:cs="Arial" w:eastAsia="Arial" w:hAnsi="Arial"/>
                <w:sz w:val="18"/>
                <w:szCs w:val="18"/>
                <w:color w:val="auto"/>
              </w:rPr>
              <w:t>Interest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3,541</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paid (refunded),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3"/>
        </w:trPr>
        <w:tc>
          <w:tcPr>
            <w:tcW w:w="7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and its subsidiaries (“Company,” “we,” “us” and “our”),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its existing business flow. We also operate as a third-party administrator that adjudicates insurance claims and premium adjustments on automotive loans.</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flagship product, Lenders Protection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All of our operations and assets are in the U.S., and all of our revenues are attributable to U.S.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Corporation and all its subsidiaries. All intercompany transactions and balances have been eliminated upon consolidation.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We believe the disclosures made in these unaudited condensed consolidated financial statements are adequate to make the information herein not misleading. These unaudited interim condensed consolidated financial statements should be read in conjunction with the audited consolidated financial statements and related notes thereto included in our Annual Report on Form 10-K for the year ended December 31, 2024 (the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interim data includes all normal adjustments that are, in our opinion, necessary for a fair statement of the results for the interim periods presented. The results of operations for the three months ended March 31, 2025 are not necessarily indicative of our operating results for the entire fiscal year ending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and the excess profit share receipts liability and assessing the realizability of deferred tax assets. Our estimates are based on historical trends and relevant assumptions that we believe to be reasonable under the circumstances. Accordingly, actual results could be materially different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represents our participation in the net underwriting profit of third-party insurance partners who provide automotive lenders with credit default insurance on loans those lenders make using LPP. We receive a percentage of the aggregate net monthly insurance underwriting profit over the term of the underlying insured loan. Monthly insurance underwriting profit is calculated as the monthly earned premium less expenses and losses (including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reserves for incurred, but not reported losses), with losses accrued and carried forward for future profit share calculations. In periods where the expenses and losses on the aggregated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fulfill our performance obligation upon placement of the insurance and recognize profit share revenue based on the amount of cash flows we expect to receive from the insurance company over the term of the underlying insured loan.</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a forecast model to estimate variable consideration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On a quarterly basis, we update the assumptions used in the forecast model and recognize a change in estimate adjustment to profit share revenue, contract assets and excess profit share receipts liability in the period.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assess the default and prepayment assumptions of the forecast model against reported performance and lender delinquency data. The forecast model is updated to consider the actual prepayment rate, default, and severity of results and macroeconomic conditions.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2025 and 2024, we recorded reductions in estimated profit share revenues of $0.9 million and $1.1 million, respectively, for changes in estimates of variable consideration related to performance obligations satisfied in previous periods, primarily as a result of actual portfolio performance and forecast assumption changes due to changes in anticipated loan default rates, severity of losses and prepayment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we use a fair value hierarchy based on three levels of inputs, of which the first two are considered observable and the last unobservable. The three levels of inputs used to establish fair value are the following:</w:t>
      </w:r>
    </w:p>
    <w:p>
      <w:pPr>
        <w:spacing w:after="0" w:line="63" w:lineRule="exact"/>
        <w:rPr>
          <w:sz w:val="20"/>
          <w:szCs w:val="20"/>
          <w:color w:val="auto"/>
        </w:rPr>
      </w:pPr>
    </w:p>
    <w:p>
      <w:pPr>
        <w:ind w:left="600" w:hanging="268"/>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9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2" w:lineRule="exact"/>
        <w:rPr>
          <w:rFonts w:ascii="Arial" w:cs="Arial" w:eastAsia="Arial" w:hAnsi="Arial"/>
          <w:sz w:val="18"/>
          <w:szCs w:val="18"/>
          <w:color w:val="auto"/>
        </w:rPr>
      </w:pPr>
    </w:p>
    <w:p>
      <w:pPr>
        <w:ind w:left="660" w:hanging="328"/>
        <w:spacing w:after="0" w:line="28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our judgments about the assumptions that market participants would use in pricing the asset or liability. Those judgments are developed based on the best information available in the circumstances, including expected cash flows and appropriately risk-adjusted discount rates, available observable and unobservable inputs. Refer to Note 7—</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a summary of our financial instruments measured at fair value on a recurring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2024, and applied on a prospective basis. Early adoption and retrospective application is permitted. We believe this ASU will have no impact on our consolidated financial statements but may result in additional disclosures.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which requires new disclosures, in a separate note to financial statements, of specified information about certain costs and expenses. The ASU is effective for annual reporting periods beginning after December 15, 2026, and interim reporting periods beginning after December 15, 2027. Early adoption is permitted. We believe this ASU will have no impact on our consolidated financial statements but will result in additional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 and Excess Profit Share Receipts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contract assets when we transfer services to a customer, recognize revenue for amounts not yet billed, and the right to consideration is conditional on something other than the passage of time. Accounts receivable are recorded when the customer has been billed or the right to consideration is unconditional. Changes in our contract assets primarily result from the timing difference between the satisfaction of our performance obligation and receipt of the customer’s payment.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performance obligations related to profit share revenue that were satisfied in previous periods, we evaluate and update our profit share revenue forecast on a quarterly basis and adjust the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 reduction in revenues and future expected cash flows.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 indicated below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Contract Assets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24"/>
        </w:trPr>
        <w:tc>
          <w:tcPr>
            <w:tcW w:w="4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8"/>
              </w:rPr>
              <w:t>Claims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Profit</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Program</w:t>
            </w:r>
          </w:p>
        </w:tc>
        <w:tc>
          <w:tcPr>
            <w:tcW w:w="1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Administration and</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40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Share</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Other Service Fees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35"/>
        </w:trPr>
        <w:tc>
          <w:tcPr>
            <w:tcW w:w="4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8"/>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December 31, 2024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15,067</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Increase of contract assets due to new business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generation</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15,210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25,342</w:t>
            </w:r>
          </w:p>
        </w:tc>
      </w:tr>
      <w:tr>
        <w:trPr>
          <w:trHeight w:val="23"/>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estimates of revenue from</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obligations satisfied in previous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periods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Payables (receivables) transferred from contract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(15,243)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(15,250)</w:t>
            </w:r>
          </w:p>
        </w:tc>
      </w:tr>
      <w:tr>
        <w:trPr>
          <w:trHeight w:val="23"/>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Transfer from/(to) excess profit share receipts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9"/>
        </w:trPr>
        <w:tc>
          <w:tcPr>
            <w:tcW w:w="4020" w:type="dxa"/>
            <w:vAlign w:val="bottom"/>
          </w:tcPr>
          <w:p>
            <w:pPr>
              <w:ind w:left="20"/>
              <w:spacing w:after="0"/>
              <w:rPr>
                <w:sz w:val="20"/>
                <w:szCs w:val="20"/>
                <w:color w:val="auto"/>
              </w:rPr>
            </w:pPr>
            <w:r>
              <w:rPr>
                <w:rFonts w:ascii="Arial" w:cs="Arial" w:eastAsia="Arial" w:hAnsi="Arial"/>
                <w:sz w:val="18"/>
                <w:szCs w:val="18"/>
                <w:color w:val="auto"/>
              </w:rPr>
              <w:t>liability</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7,977</w:t>
            </w:r>
          </w:p>
        </w:tc>
      </w:tr>
      <w:tr>
        <w:trPr>
          <w:trHeight w:val="23"/>
        </w:trPr>
        <w:tc>
          <w:tcPr>
            <w:tcW w:w="4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March 31, 2025</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29,845</w:t>
            </w: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Profit Share Receipts Liability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profit share cash consideration received is in excess of the expected profit share consideration at the loan level, the amount of excess funds and the forecasted losses are recorded as an excess profit share receipts liability. The excess profit share receipts liability is based on the current forecast of future losses of the active loan portfolio and will be impacted by future changes in estimate related to profit share revenue. There is generally no contractual obligation to return the excess funds while an insurance partner is actively participating in our profit share program; however, future expected profit share cash flows may be reduced.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excess profit share receipts liability balance for the period indicated below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Profit Share</w:t>
            </w:r>
          </w:p>
        </w:tc>
      </w:tr>
      <w:tr>
        <w:trPr>
          <w:trHeight w:val="247"/>
        </w:trPr>
        <w:tc>
          <w:tcPr>
            <w:tcW w:w="9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i w:val="1"/>
                <w:iCs w:val="1"/>
                <w:color w:val="auto"/>
              </w:rPr>
              <w:t>(in thousands)</w:t>
            </w:r>
          </w:p>
        </w:tc>
      </w:tr>
      <w:tr>
        <w:trPr>
          <w:trHeight w:val="23"/>
        </w:trPr>
        <w:tc>
          <w:tcPr>
            <w:tcW w:w="9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December 31, 2024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47,556</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Change in estimates of revenue from performance obligations satisfied in previous periods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
        </w:trPr>
        <w:tc>
          <w:tcPr>
            <w:tcW w:w="9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received from insurance carriers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Transfer from/(to) contract asset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7,977</w:t>
            </w:r>
          </w:p>
        </w:tc>
      </w:tr>
      <w:tr>
        <w:trPr>
          <w:trHeight w:val="23"/>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as of March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56,556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fulfillment costs associated with our contracts with customers generally do not meet the criteria for capitalization and therefore are expensed as incurred.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4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316"/>
        </w:trPr>
        <w:tc>
          <w:tcPr>
            <w:tcW w:w="7640" w:type="dxa"/>
            <w:vAlign w:val="bottom"/>
          </w:tcPr>
          <w:p>
            <w:pPr>
              <w:spacing w:after="0"/>
              <w:rPr>
                <w:sz w:val="20"/>
                <w:szCs w:val="20"/>
                <w:color w:val="auto"/>
              </w:rPr>
            </w:pPr>
            <w:r>
              <w:rPr>
                <w:rFonts w:ascii="Arial" w:cs="Arial" w:eastAsia="Arial" w:hAnsi="Arial"/>
                <w:sz w:val="18"/>
                <w:szCs w:val="18"/>
                <w:color w:val="auto"/>
              </w:rPr>
              <w:t>The following table provides a summary of our debt as of the periods indicated:</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2"/>
        </w:trPr>
        <w:tc>
          <w:tcPr>
            <w:tcW w:w="7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7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35"/>
        </w:trPr>
        <w:tc>
          <w:tcPr>
            <w:tcW w:w="7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4"/>
          </w:tcPr>
          <w:p>
            <w:pPr>
              <w:jc w:val="right"/>
              <w:ind w:right="1190"/>
              <w:spacing w:after="0"/>
              <w:rPr>
                <w:sz w:val="20"/>
                <w:szCs w:val="20"/>
                <w:color w:val="auto"/>
              </w:rPr>
            </w:pPr>
            <w:r>
              <w:rPr>
                <w:rFonts w:ascii="Arial" w:cs="Arial" w:eastAsia="Arial" w:hAnsi="Arial"/>
                <w:sz w:val="16"/>
                <w:szCs w:val="16"/>
                <w:i w:val="1"/>
                <w:iCs w:val="1"/>
                <w:color w:val="auto"/>
              </w:rPr>
              <w:t>(in thousands)</w:t>
            </w:r>
          </w:p>
        </w:tc>
      </w:tr>
      <w:tr>
        <w:trPr>
          <w:trHeight w:val="25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2027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140,625</w:t>
            </w:r>
          </w:p>
        </w:tc>
      </w:tr>
      <w:tr>
        <w:trPr>
          <w:trHeight w:val="247"/>
        </w:trPr>
        <w:tc>
          <w:tcPr>
            <w:tcW w:w="76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41"/>
        </w:trPr>
        <w:tc>
          <w:tcPr>
            <w:tcW w:w="7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139,717</w:t>
            </w: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132,217</w:t>
            </w:r>
          </w:p>
        </w:tc>
      </w:tr>
      <w:tr>
        <w:trPr>
          <w:trHeight w:val="21"/>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Agreement—Term Loan due 2027 and Revolving Credit Facility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9, 2022, we entered into a First Amendment to our existing Credit Agreement (the “First Amendment”) with Wells Fargo Bank, N.A., as the administrative agent, and the financial institutions party thereto, as the lenders. The First Amendment provided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 (“Adjusted SOFR”) plus a spread that is based upon our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Funded Secured Debt/EBITDA ratio increases or decreases.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2025, the Term Loan due 2027 and the Revolving Credit Facility were both subject to an Adjusted SOFR rate of 4.399% plus a spread of 2.375% per annum. Commitment fees were accrued at 0.225% under the Revolving Credit Facility’s unused commitment balance of $150 million as of March 31, 2025. As of March 31, 2025 and December 31, 2024, the effective interest rate on the outstanding borrowings was 7.020% and 7.050%, respectively.</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Unamortized deferred financing costs related to the Term Loan due 2027 and the Revolving Credit Facility were $0.8 million and $0.2 million, respectively, as of March 31, 2025.</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under the Credit Agreement are guaranteed by our U.S. subsidiaries and are secured by substantially all of our assets and our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March 31, 2025, we were in compliance with all required covenants under the Credit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compute our interim provision for income taxes by applying the estimated annual effective tax rate to year-to-date income before income tax and adjust the provision for discrete tax items recorded in the period. Each quarter, we update the estimated annual effective tax rate and make a year-to-date adjustment to the provision. The interim provision for income taxes and estimated annual effective tax rate are subject to volatility due to several factors, including changes in our earnings, changes to our valuation allowance, material discrete tax items and the effects of tax law changes.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2025 and 2024, we recognized income tax expense of $0.1 million and $2.4 million, respectively, resulting in an effective tax rate of 8.3% and 32.4%, respectively. The decrease in effective tax rate for the three months ended March 31, 2025 compared to the same period in 2024 is primarily due to the impact of changes in our valuation allowance during the period and decreased income before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months ended March 31, 2025 and 2024:</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35"/>
        </w:trPr>
        <w:tc>
          <w:tcPr>
            <w:tcW w:w="7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jc w:val="right"/>
              <w:ind w:right="390"/>
              <w:spacing w:after="0"/>
              <w:rPr>
                <w:sz w:val="20"/>
                <w:szCs w:val="20"/>
                <w:color w:val="auto"/>
              </w:rPr>
            </w:pPr>
            <w:r>
              <w:rPr>
                <w:rFonts w:ascii="Arial" w:cs="Arial" w:eastAsia="Arial" w:hAnsi="Arial"/>
                <w:sz w:val="16"/>
                <w:szCs w:val="16"/>
                <w:i w:val="1"/>
                <w:iCs w:val="1"/>
                <w:color w:val="auto"/>
              </w:rPr>
              <w:t>(in thousands, except per share data)</w:t>
            </w:r>
          </w:p>
        </w:tc>
      </w:tr>
      <w:tr>
        <w:trPr>
          <w:trHeight w:val="27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share:</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b w:val="1"/>
                <w:bCs w:val="1"/>
                <w:color w:val="auto"/>
              </w:rPr>
              <w:t>Numerator</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8"/>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8"/>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119,451</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118,926</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Diluted net income per share:</w:t>
            </w:r>
          </w:p>
        </w:tc>
        <w:tc>
          <w:tcPr>
            <w:tcW w:w="2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7"/>
        </w:trPr>
        <w:tc>
          <w:tcPr>
            <w:tcW w:w="7560" w:type="dxa"/>
            <w:vAlign w:val="bottom"/>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7560" w:type="dxa"/>
            <w:vAlign w:val="bottom"/>
          </w:tcPr>
          <w:p>
            <w:pPr>
              <w:ind w:left="50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119,451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118,926</w:t>
            </w:r>
          </w:p>
        </w:tc>
      </w:tr>
      <w:tr>
        <w:trPr>
          <w:trHeight w:val="23"/>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effect of employee share awards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0"/>
        </w:trPr>
        <w:tc>
          <w:tcPr>
            <w:tcW w:w="7560" w:type="dxa"/>
            <w:vAlign w:val="bottom"/>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119,629</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119,416</w:t>
            </w:r>
          </w:p>
        </w:tc>
      </w:tr>
      <w:tr>
        <w:trPr>
          <w:trHeight w:val="23"/>
        </w:trPr>
        <w:tc>
          <w:tcPr>
            <w:tcW w:w="7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outstanding securities for the three months ended March 31, 2025 and 2024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17"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34925</wp:posOffset>
            </wp:positionV>
            <wp:extent cx="22802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20" w:type="dxa"/>
            <w:vAlign w:val="bottom"/>
            <w:gridSpan w:val="2"/>
          </w:tcPr>
          <w:p>
            <w:pPr>
              <w:ind w:left="8320"/>
              <w:spacing w:after="0"/>
              <w:rPr>
                <w:sz w:val="20"/>
                <w:szCs w:val="20"/>
                <w:color w:val="auto"/>
              </w:rPr>
            </w:pPr>
            <w:r>
              <w:rPr>
                <w:rFonts w:ascii="Arial" w:cs="Arial" w:eastAsia="Arial" w:hAnsi="Arial"/>
                <w:sz w:val="18"/>
                <w:szCs w:val="18"/>
                <w:b w:val="1"/>
                <w:bCs w:val="1"/>
                <w:color w:val="auto"/>
              </w:rPr>
              <w:t>2025</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5"/>
        </w:trPr>
        <w:tc>
          <w:tcPr>
            <w:tcW w:w="764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7"/>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Time-based restricted stock units</w:t>
            </w: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6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14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52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7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6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measured at fair value on a recurring basis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100" w:type="dxa"/>
            <w:vAlign w:val="bottom"/>
            <w:tcBorders>
              <w:bottom w:val="single" w:sz="8" w:color="auto"/>
            </w:tcBorders>
            <w:gridSpan w:val="9"/>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 as of March 31, 2025</w:t>
            </w:r>
          </w:p>
        </w:tc>
      </w:tr>
      <w:tr>
        <w:trPr>
          <w:trHeight w:val="263"/>
        </w:trPr>
        <w:tc>
          <w:tcPr>
            <w:tcW w:w="39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4"/>
          </w:tcPr>
          <w:p>
            <w:pPr>
              <w:jc w:val="right"/>
              <w:ind w:right="60"/>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7"/>
        </w:trPr>
        <w:tc>
          <w:tcPr>
            <w:tcW w:w="39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228,602</w:t>
            </w:r>
          </w:p>
        </w:tc>
        <w:tc>
          <w:tcPr>
            <w:tcW w:w="12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228,602</w:t>
            </w:r>
          </w:p>
        </w:tc>
        <w:tc>
          <w:tcPr>
            <w:tcW w:w="120" w:type="dxa"/>
            <w:vAlign w:val="bottom"/>
          </w:tcPr>
          <w:p>
            <w:pPr>
              <w:spacing w:after="0"/>
              <w:rPr>
                <w:sz w:val="21"/>
                <w:szCs w:val="21"/>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3"/>
        </w:trPr>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228,602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228,602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r>
      <w:tr>
        <w:trPr>
          <w:trHeight w:val="20"/>
        </w:trPr>
        <w:tc>
          <w:tcPr>
            <w:tcW w:w="3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473"/>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9"/>
          </w:tcPr>
          <w:p>
            <w:pPr>
              <w:jc w:val="center"/>
              <w:ind w:right="250"/>
              <w:spacing w:after="0"/>
              <w:rPr>
                <w:sz w:val="20"/>
                <w:szCs w:val="20"/>
                <w:color w:val="auto"/>
              </w:rPr>
            </w:pPr>
            <w:r>
              <w:rPr>
                <w:rFonts w:ascii="Arial" w:cs="Arial" w:eastAsia="Arial" w:hAnsi="Arial"/>
                <w:sz w:val="18"/>
                <w:szCs w:val="18"/>
                <w:b w:val="1"/>
                <w:bCs w:val="1"/>
                <w:color w:val="auto"/>
                <w:w w:val="99"/>
              </w:rPr>
              <w:t>Fair value measurement as of December 31, 2024</w:t>
            </w:r>
          </w:p>
        </w:tc>
      </w:tr>
      <w:tr>
        <w:trPr>
          <w:trHeight w:val="264"/>
        </w:trPr>
        <w:tc>
          <w:tcPr>
            <w:tcW w:w="3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8"/>
                <w:szCs w:val="18"/>
                <w:b w:val="1"/>
                <w:bCs w:val="1"/>
                <w:color w:val="auto"/>
              </w:rPr>
              <w:t>Level 2</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35"/>
        </w:trPr>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gridSpan w:val="4"/>
          </w:tcPr>
          <w:p>
            <w:pPr>
              <w:jc w:val="right"/>
              <w:ind w:right="60"/>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7"/>
        </w:trPr>
        <w:tc>
          <w:tcPr>
            <w:tcW w:w="39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238,198</w:t>
            </w:r>
          </w:p>
        </w:tc>
        <w:tc>
          <w:tcPr>
            <w:tcW w:w="12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238,198</w:t>
            </w:r>
          </w:p>
        </w:tc>
        <w:tc>
          <w:tcPr>
            <w:tcW w:w="120" w:type="dxa"/>
            <w:vAlign w:val="bottom"/>
          </w:tcPr>
          <w:p>
            <w:pPr>
              <w:spacing w:after="0"/>
              <w:rPr>
                <w:sz w:val="21"/>
                <w:szCs w:val="21"/>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3"/>
        </w:trPr>
        <w:tc>
          <w:tcPr>
            <w:tcW w:w="3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238,198</w:t>
            </w:r>
          </w:p>
        </w:tc>
        <w:tc>
          <w:tcPr>
            <w:tcW w:w="1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238,198</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amounts reported in our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carrying amount of our debt approximates its fair value due to its variable interest rate. The fair value is determined using the Adjusted SOFR as of March 31, 2025 and December 31, 2024 plus an applicable spread, a Level 2 classification in the fair value hierarchy. Refer to Note 4 -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the carrying amount of our debt.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accounting policy is to recognize transfers between levels of the fair value hierarchy on the date of the event or change in circumstances that caused the transfer. There were no transfers into or out of any level for the periods ended March 31, 2025 and December 31,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8—Segment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operate as one operating segment. The following table sets forth significant expense categories and other specified amounts included in consolidated net income that are reviewed by the chief operating decision maker (“CODM”), or are otherwise regularly provided to the CODM,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20" w:type="dxa"/>
            <w:vAlign w:val="bottom"/>
          </w:tcPr>
          <w:p>
            <w:pPr>
              <w:spacing w:after="0"/>
              <w:rPr>
                <w:sz w:val="19"/>
                <w:szCs w:val="19"/>
                <w:color w:val="auto"/>
              </w:rPr>
            </w:pPr>
          </w:p>
        </w:tc>
        <w:tc>
          <w:tcPr>
            <w:tcW w:w="36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6"/>
                <w:szCs w:val="16"/>
                <w:b w:val="1"/>
                <w:bCs w:val="1"/>
                <w:color w:val="auto"/>
              </w:rPr>
              <w:t>Three Months Ended March 31,</w:t>
            </w:r>
          </w:p>
        </w:tc>
      </w:tr>
      <w:tr>
        <w:trPr>
          <w:trHeight w:val="261"/>
        </w:trPr>
        <w:tc>
          <w:tcPr>
            <w:tcW w:w="76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47"/>
        </w:trPr>
        <w:tc>
          <w:tcPr>
            <w:tcW w:w="7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1"/>
                <w:szCs w:val="21"/>
                <w:color w:val="auto"/>
              </w:rPr>
            </w:pP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Program fees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15,210</w:t>
            </w:r>
          </w:p>
        </w:tc>
        <w:tc>
          <w:tcPr>
            <w:tcW w:w="14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14,309</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Profit share</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Claims administration and other service fees</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3"/>
        </w:trPr>
        <w:tc>
          <w:tcPr>
            <w:tcW w:w="7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1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24,393</w:t>
            </w:r>
          </w:p>
        </w:tc>
        <w:tc>
          <w:tcPr>
            <w:tcW w:w="14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8"/>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cost of services</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4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r>
      <w:tr>
        <w:trPr>
          <w:trHeight w:val="263"/>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cost of services</w:t>
            </w:r>
          </w:p>
        </w:tc>
        <w:tc>
          <w:tcPr>
            <w:tcW w:w="1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6,084</w:t>
            </w:r>
          </w:p>
        </w:tc>
        <w:tc>
          <w:tcPr>
            <w:tcW w:w="14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5,750</w:t>
            </w:r>
          </w:p>
        </w:tc>
      </w:tr>
      <w:tr>
        <w:trPr>
          <w:trHeight w:val="256"/>
        </w:trPr>
        <w:tc>
          <w:tcPr>
            <w:tcW w:w="7620" w:type="dxa"/>
            <w:vAlign w:val="bottom"/>
          </w:tcPr>
          <w:p>
            <w:pPr>
              <w:ind w:left="240"/>
              <w:spacing w:after="0"/>
              <w:rPr>
                <w:sz w:val="20"/>
                <w:szCs w:val="20"/>
                <w:color w:val="auto"/>
              </w:rPr>
            </w:pPr>
            <w:r>
              <w:rPr>
                <w:rFonts w:ascii="Arial" w:cs="Arial" w:eastAsia="Arial" w:hAnsi="Arial"/>
                <w:sz w:val="18"/>
                <w:szCs w:val="18"/>
                <w:b w:val="1"/>
                <w:bCs w:val="1"/>
                <w:color w:val="auto"/>
              </w:rPr>
              <w:t>Gross profit</w:t>
            </w:r>
          </w:p>
        </w:tc>
        <w:tc>
          <w:tcPr>
            <w:tcW w:w="1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18,309</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24,995</w:t>
            </w:r>
          </w:p>
        </w:tc>
      </w:tr>
      <w:tr>
        <w:trPr>
          <w:trHeight w:val="27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10,471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10,066</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Professional fees</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IT services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r>
      <w:tr>
        <w:trPr>
          <w:trHeight w:val="257"/>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17,547</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17,672</w:t>
            </w:r>
          </w:p>
        </w:tc>
      </w:tr>
      <w:tr>
        <w:trPr>
          <w:trHeight w:val="27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7,323</w:t>
            </w:r>
          </w:p>
        </w:tc>
      </w:tr>
      <w:tr>
        <w:trPr>
          <w:trHeight w:val="247"/>
        </w:trPr>
        <w:tc>
          <w:tcPr>
            <w:tcW w:w="7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r>
      <w:tr>
        <w:trPr>
          <w:trHeight w:val="247"/>
        </w:trPr>
        <w:tc>
          <w:tcPr>
            <w:tcW w:w="7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3"/>
        </w:trPr>
        <w:tc>
          <w:tcPr>
            <w:tcW w:w="7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1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0"/>
        </w:trPr>
        <w:tc>
          <w:tcPr>
            <w:tcW w:w="7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7,524</w:t>
            </w:r>
          </w:p>
        </w:tc>
      </w:tr>
      <w:tr>
        <w:trPr>
          <w:trHeight w:val="23"/>
        </w:trPr>
        <w:tc>
          <w:tcPr>
            <w:tcW w:w="7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5,087</w:t>
            </w:r>
          </w:p>
        </w:tc>
      </w:tr>
      <w:tr>
        <w:trPr>
          <w:trHeight w:val="27"/>
        </w:trPr>
        <w:tc>
          <w:tcPr>
            <w:tcW w:w="7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ind w:firstLine="8"/>
        <w:spacing w:after="0" w:line="227" w:lineRule="auto"/>
        <w:tabs>
          <w:tab w:leader="none" w:pos="185"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Other cost of services primarily consists of costs incurred to third party partners for partner commissions, fees paid for actuarial services, fees for integration with the loan origination system of automotive lenders and fees paid to credit bureaus and data service providers.</w:t>
      </w:r>
    </w:p>
    <w:p>
      <w:pPr>
        <w:spacing w:after="0" w:line="29" w:lineRule="exact"/>
        <w:rPr>
          <w:rFonts w:ascii="Arial" w:cs="Arial" w:eastAsia="Arial" w:hAnsi="Arial"/>
          <w:sz w:val="21"/>
          <w:szCs w:val="21"/>
          <w:color w:val="auto"/>
          <w:vertAlign w:val="superscript"/>
        </w:rPr>
      </w:pPr>
    </w:p>
    <w:p>
      <w:pPr>
        <w:ind w:firstLine="8"/>
        <w:spacing w:after="0" w:line="235"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Other operating expenses includes marketing expenses, insurance expenses, travel expenses, meals and entertainment expenses, facilities expenses and business development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2025, a putative shareholder class action lawsuit was filed against the Company and our three former Chief Executive Officers in the U.S. District Court for the Western District of Texas. The class action is purportedly brought on behalf of persons who allegedly suffered damages as a result of alleged materially false and/or misleading statements and omissions about our business, operations, and prospects in violation of Sections 10(b) and 20(a) of the Securities Exchange Act of 1934, as amended (the “Exchange Act”), and Rule 10b-5 promulgated thereunder. The complaint alleges that defendants: (1) 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outstanding loan balances; (4) misrepresented the underperformance of the Company’s 2023 and 2024 vintage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and (5) as a result of the foregoing, Defendants’ positive statements about the Company’s business, operations, and prospects were materially misleading and/or lacked a reasonable basis. Motions for appointment of lead plaintiff are due on June 30, 2025. We cannot predict the timing, outcome or consequences of the class action at the current stage. As of March 31, 2025, we have not recorded a loss contingency liability related to this matter. We will continue to evaluate information as it becomes available and will record an estimate for losses when it is both probable a loss has been incurred and the amount of the loss can be reasonably estimated.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1, 2025, the Board of Directors authorized share repurchases under a share repurchase program (the “Share Repurchase Program”) allowing the Company to repurchase up to $25.0 million of the Company’s outstanding common stock until May 1, 2026. Repurchases may be made at management’s discretion from time to time on the open market. The Share Repurchase Program may be suspended, amended, or discontinued at any time.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on Form 10-K for the year ended December 31, 2024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75"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forecasting model, estimated revenues and losses, projected costs, prospects and plans;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macroeconomic conditions and the relative strength of the overall economy, including its effect on unemployment, consumer spending and consumer demand for automotive products;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regulatory requirements, including federal and state consumer lending and consumer protection laws;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 including under the current U.S. administration; and</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taxes, inflation, tariffs, supply chain disruptions, including global hostilities and responses thereto, interest rates and the regulatory environment.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should not place undue reliance on these forward-looking statements in deciding whether to invest in our securities. As a result of a number of known and unknown risks and uncertainties, our actual results or performance may be materially different from those expressed or implied by these forward-looking statements.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$25.8 billion in originations, accumulated more than 20 years of proprietary data and developed over two million unique risk profiles. We currently serve 443 active lenders.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product, 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facilitate certified loans and have achieved financial success by targeting the financing needs of near-prime and non-prime borrowers who are underserved in the automotive finance industry.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facilitated 27,638 certified loans during the three months ended March 31, 2025, as compared to 28,189 certified loans during the three months ended March 31, 2024.</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revenue was $24.4 million for the three months ended March 31, 2025, as compared to $30.7 million during the three months ended March 31, 2024.</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was $0.8 million for the three months ended March 31, 2025, as compared to $7.3 million in the three months ended March 31, 2024.</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income was $0.6 million for the three months ended March 31, 2025, as compared to $5.1 million for the three months ended March 31,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 2025, the Board of Directors authorized the Share Repurchase Program allowing the Company to repurchase up to $25.0 million of the Company’s outstanding common stock until May 1, 2026. Repurchases may be made at management’s discretion from time to time in the open market. The Share Repurchase Program may be suspended, amended, or discontinued at any time.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summarizes the dollar value of insured loans facilitated, the number of new contracts we signed with automotive lenders and the number of active lenders for the three months ended March 31, 2025 and 2024.</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76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r>
      <w:tr>
        <w:trPr>
          <w:trHeight w:val="247"/>
        </w:trPr>
        <w:tc>
          <w:tcPr>
            <w:tcW w:w="762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782,901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787,833</w:t>
            </w:r>
          </w:p>
        </w:tc>
      </w:tr>
      <w:tr>
        <w:trPr>
          <w:trHeight w:val="23"/>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27,948</w:t>
            </w:r>
          </w:p>
        </w:tc>
      </w:tr>
      <w:tr>
        <w:trPr>
          <w:trHeight w:val="247"/>
        </w:trPr>
        <w:tc>
          <w:tcPr>
            <w:tcW w:w="762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active lenders at end of period</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bl>
    <w:p>
      <w:pPr>
        <w:spacing w:after="0" w:line="67" w:lineRule="exact"/>
        <w:rPr>
          <w:sz w:val="20"/>
          <w:szCs w:val="20"/>
          <w:color w:val="auto"/>
        </w:rPr>
      </w:pPr>
    </w:p>
    <w:p>
      <w:pPr>
        <w:ind w:left="260" w:hanging="252"/>
        <w:spacing w:after="0" w:line="235" w:lineRule="auto"/>
        <w:tabs>
          <w:tab w:leader="none" w:pos="19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Active lenders is defined as lenders who certify at least one loan during the preceding 12 months. This number includes 11 and 4 new lenders using LPP to certify loans for the first time during the three months ended March 31, 2025 and 2024,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months ended March 31, 2025 and 2024:</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64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400" w:type="dxa"/>
            <w:vAlign w:val="bottom"/>
            <w:tcBorders>
              <w:bottom w:val="single" w:sz="8" w:color="auto"/>
            </w:tcBorders>
          </w:tcPr>
          <w:p>
            <w:pPr>
              <w:spacing w:after="0"/>
              <w:rPr>
                <w:sz w:val="22"/>
                <w:szCs w:val="22"/>
                <w:color w:val="auto"/>
              </w:rPr>
            </w:pPr>
          </w:p>
        </w:tc>
      </w:tr>
      <w:tr>
        <w:trPr>
          <w:trHeight w:val="264"/>
        </w:trPr>
        <w:tc>
          <w:tcPr>
            <w:tcW w:w="56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2024</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56"/>
        </w:trPr>
        <w:tc>
          <w:tcPr>
            <w:tcW w:w="5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27,638</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28,189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564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10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25,114</w:t>
            </w:r>
          </w:p>
        </w:tc>
        <w:tc>
          <w:tcPr>
            <w:tcW w:w="480" w:type="dxa"/>
            <w:vAlign w:val="bottom"/>
          </w:tcPr>
          <w:p>
            <w:pPr>
              <w:spacing w:after="0"/>
              <w:rPr>
                <w:sz w:val="21"/>
                <w:szCs w:val="21"/>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25,444</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w:t>
            </w:r>
          </w:p>
        </w:tc>
        <w:tc>
          <w:tcPr>
            <w:tcW w:w="4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2,745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508</w:t>
            </w:r>
          </w:p>
        </w:tc>
        <w:tc>
          <w:tcPr>
            <w:tcW w:w="14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
        </w:trPr>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482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7"/>
        </w:trPr>
        <w:tc>
          <w:tcPr>
            <w:tcW w:w="5640" w:type="dxa"/>
            <w:vAlign w:val="bottom"/>
          </w:tcPr>
          <w:p>
            <w:pPr>
              <w:ind w:left="340"/>
              <w:spacing w:after="0"/>
              <w:rPr>
                <w:sz w:val="20"/>
                <w:szCs w:val="20"/>
                <w:color w:val="auto"/>
              </w:rPr>
            </w:pPr>
            <w:r>
              <w:rPr>
                <w:rFonts w:ascii="Arial" w:cs="Arial" w:eastAsia="Arial" w:hAnsi="Arial"/>
                <w:sz w:val="18"/>
                <w:szCs w:val="18"/>
                <w:color w:val="auto"/>
              </w:rPr>
              <w:t>Monthly-pay</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745</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earn a monthly claims administration service fee, which is calculated by our insurance partners as 3% of the monthly net insurance earned premium collected over the life of the underlying loan. We define “earned premium” as the total insurance premium earned by insurers in a given period. Earned premiums were $81.8 million and $85.1 million for the three months ended March 31, 2025 and 2024,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General Economic Conditions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economic factors such as inflation, fluctuating interest rates, tariffs, uncertainty or changes in monetary and related policies, market volatility, supply chain disruptions, consumer confidence and, particularly, the unemployment rate also influence consumer spending and borrowing patterns.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revenue is generated through three streams: (i) program fees paid to us by automotive lenders, (ii) profit share paid to us by insurance partners, and (iii) claims administration service fees paid to us by insurance partners. Our revenue grows as we increase active automotive lenders using LPP as it influences the number of loans funded on LPP. Growth in our active automotive lender relationships will depend on our ability to retain existing automotive lenders and add new ones.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our cloud-based automotive lending enablement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loan analytics solutions and automated issuance of credit default insurance with third-party insurance providers. These fees are based on a percentage of each certified loan’s original principal balance and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with losses accrued and carried forward to future profit share calculations. Thus, the profit share payments received from the insurance carriers are based on the monthly activity of the aggregated loan portfolio at the insurance partner level and can vary each period.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its remaining active loan portfolio as of the reporting date. These assumptions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share revenue upon the placement of the insurance as all performance obligations are satisfied at that time and record a contract asset for the consideration we expect to receive over the term of the underlying insured loan.</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model in an effort to help ensure that default, severity and prepayment rate projections align with actual experience. Positive change in estimates associated with historic vintages generate additional revenues and future expected cash flows, while negative change in estimates generate a reduction in revenues and future expected cash flows.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partners for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partner commissions, compensation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increase as a percentage of our program fee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employee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including share-based compensation expense, for corporate level employees, data and software expenses and professional and consulting fees. In the near term, we expect general and administrative expenses to remain constant.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as well as travel, meals</w:t>
      </w:r>
      <w:r>
        <w:rPr>
          <w:rFonts w:ascii="Arial" w:cs="Arial" w:eastAsia="Arial" w:hAnsi="Arial"/>
          <w:sz w:val="18"/>
          <w:szCs w:val="18"/>
          <w:i w:val="1"/>
          <w:iCs w:val="1"/>
          <w:color w:val="auto"/>
        </w:rPr>
        <w:t xml:space="preserve"> </w:t>
      </w:r>
      <w:r>
        <w:rPr>
          <w:rFonts w:ascii="Arial" w:cs="Arial" w:eastAsia="Arial" w:hAnsi="Arial"/>
          <w:sz w:val="18"/>
          <w:szCs w:val="18"/>
          <w:color w:val="auto"/>
        </w:rPr>
        <w:t>and entertainment expenses for employees engaged in selling and marketing activities and costs of our business development and marketing programs. We generally expect selling and marketing expenses to decrease in the near term.</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compensation and benefits for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engaged in product development activities and data and software expenses. In addition, we capitalize certain research and development expenses related to the development of new functionality for our cloud-based solutions, which may cause our research and development expense to fluctuate from period to period. We generally expect our research and development expenses to remain constant in the near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 Since the borrowings outstanding under our debt currently bear interest at variable rates, we expect our interest expense may continue to fluctuate as a result of changes in interest 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373"/>
        </w:trPr>
        <w:tc>
          <w:tcPr>
            <w:tcW w:w="4000" w:type="dxa"/>
            <w:vAlign w:val="bottom"/>
          </w:tcPr>
          <w:p>
            <w:pPr>
              <w:spacing w:after="0"/>
              <w:rPr>
                <w:sz w:val="24"/>
                <w:szCs w:val="24"/>
                <w:color w:val="auto"/>
              </w:rPr>
            </w:pPr>
          </w:p>
        </w:tc>
        <w:tc>
          <w:tcPr>
            <w:tcW w:w="360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63"/>
        </w:trPr>
        <w:tc>
          <w:tcPr>
            <w:tcW w:w="40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4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3"/>
        </w:trPr>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15,210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56"/>
        </w:trPr>
        <w:tc>
          <w:tcPr>
            <w:tcW w:w="4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47"/>
        </w:trPr>
        <w:tc>
          <w:tcPr>
            <w:tcW w:w="400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(7,351)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
        </w:trPr>
        <w:tc>
          <w:tcPr>
            <w:tcW w:w="4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10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6,730</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13,882</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(7,152)</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r>
      <w:tr>
        <w:trPr>
          <w:trHeight w:val="278"/>
        </w:trPr>
        <w:tc>
          <w:tcPr>
            <w:tcW w:w="40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63"/>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(4)%</w:t>
            </w:r>
          </w:p>
        </w:tc>
      </w:tr>
      <w:tr>
        <w:trPr>
          <w:trHeight w:val="29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24,393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revenue decreased by $6.4 million, or 21%, primarily driven by a $7.2 million decrease in profit share revenue, partially offset by a $0.9 million increase in program fees, as compared to the three months ended March 31, 2024.</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Program Fees. </w:t>
      </w:r>
      <w:r>
        <w:rPr>
          <w:rFonts w:ascii="Arial" w:cs="Arial" w:eastAsia="Arial" w:hAnsi="Arial"/>
          <w:sz w:val="18"/>
          <w:szCs w:val="18"/>
          <w:color w:val="auto"/>
        </w:rPr>
        <w:t>Program fees revenue increased by $ 0.9 million, or 6%, primarily driven by an 8% increase in unit economics per certified</w:t>
      </w:r>
      <w:r>
        <w:rPr>
          <w:rFonts w:ascii="Arial" w:cs="Arial" w:eastAsia="Arial" w:hAnsi="Arial"/>
          <w:sz w:val="18"/>
          <w:szCs w:val="18"/>
          <w:i w:val="1"/>
          <w:iCs w:val="1"/>
          <w:color w:val="auto"/>
        </w:rPr>
        <w:t xml:space="preserve"> </w:t>
      </w:r>
      <w:r>
        <w:rPr>
          <w:rFonts w:ascii="Arial" w:cs="Arial" w:eastAsia="Arial" w:hAnsi="Arial"/>
          <w:sz w:val="18"/>
          <w:szCs w:val="18"/>
          <w:color w:val="auto"/>
        </w:rPr>
        <w:t>loan, partially offset by a 2% decrease in certified loan volume.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revenue decreased by $7.2 million, or 52%, due to a $7.4 million, or 49%, decrease in anticipated profit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new certified loan originations, partially offset by a $0.2 million, or 17%, decrease in the negative change in estimate adjustment during the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2025, we recorded $7.7 million in anticipated profit share associated with 27,638 new certified loans for an average of $278 per loan, as compared to $15.0 million in anticipated profit share associated with 28,189 certified loans for an average of $533 per loan during the three months ended March 31, 2024. The decrease in the average revenue per loan was due to a decrease in expected future profit share consideration to be received from our insurance partners on the loans certified based on current estimates of loan default rates, prepayment rates and severity of losses.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during the three months ended March 31, 2025, we recorded a reduction in estimated profit share revenue of $0.9 million for changes in estimates of variable consideration related to performance obligations satisfied in previous periods, or historic vintages, primarily as a result of forecast assumption changes due to higher than anticipated loan defaults, partially offset by lower than anticipated prepayment rates and severity of losses. During the three months ended March 31, 2024, we recorded a decrease of $1.1 million in profit share revenue for changes in estimates of variable consideration of historic vintages primarily due to higher than anticipated loan defaults, partially offset by lower than anticipated prepayment rates and severity of losses.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Claims Administration and Other Service Fees. </w:t>
      </w:r>
      <w:r>
        <w:rPr>
          <w:rFonts w:ascii="Arial" w:cs="Arial" w:eastAsia="Arial" w:hAnsi="Arial"/>
          <w:sz w:val="18"/>
          <w:szCs w:val="18"/>
          <w:color w:val="auto"/>
        </w:rPr>
        <w:t>Revenue from claims administration and other service fees, which primarily represents 3%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insurance partners’ earned premium, decreased by $0.1 million, or 4%, primarily due to a decrease in total earned premiums.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Gross Profit and Gross Margin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7"/>
        </w:trPr>
        <w:tc>
          <w:tcPr>
            <w:tcW w:w="3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24,393</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30,745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47"/>
        </w:trPr>
        <w:tc>
          <w:tcPr>
            <w:tcW w:w="3740" w:type="dxa"/>
            <w:vAlign w:val="bottom"/>
          </w:tcPr>
          <w:p>
            <w:pPr>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
        </w:trPr>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18,309</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24,995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line="20" w:lineRule="exact"/>
              <w:rPr>
                <w:sz w:val="1"/>
                <w:szCs w:val="1"/>
                <w:color w:val="auto"/>
              </w:rPr>
            </w:pPr>
          </w:p>
        </w:tc>
      </w:tr>
      <w:tr>
        <w:trPr>
          <w:trHeight w:val="229"/>
        </w:trPr>
        <w:tc>
          <w:tcPr>
            <w:tcW w:w="37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75 %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increased $ 0.3 million, or 6%, primarily due to increases in fees paid to data service providers of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partner commissions of $0.3 million, partially offset by a decrease in employee compensation and benefits of $0.5 million.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$6.7 million, or 27%, primarily driven by decreases in profit share revenue and an increase in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discussed above.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Operating Income and Operating Margin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3780" w:type="dxa"/>
            <w:vAlign w:val="bottom"/>
          </w:tcPr>
          <w:p>
            <w:pPr>
              <w:spacing w:after="0"/>
              <w:rPr>
                <w:sz w:val="22"/>
                <w:szCs w:val="22"/>
                <w:color w:val="auto"/>
              </w:rPr>
            </w:pPr>
          </w:p>
        </w:tc>
        <w:tc>
          <w:tcPr>
            <w:tcW w:w="384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7"/>
        </w:trPr>
        <w:tc>
          <w:tcPr>
            <w:tcW w:w="3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20" w:type="dxa"/>
            <w:vAlign w:val="bottom"/>
            <w:gridSpan w:val="3"/>
          </w:tcPr>
          <w:p>
            <w:pPr>
              <w:jc w:val="right"/>
              <w:ind w:right="510"/>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18,309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24,995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10,898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11,979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7"/>
        </w:trPr>
        <w:tc>
          <w:tcPr>
            <w:tcW w:w="37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17,547</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17,672</w:t>
            </w:r>
          </w:p>
        </w:tc>
        <w:tc>
          <w:tcPr>
            <w:tcW w:w="1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68"/>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(6,561)</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Operating margin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line="20" w:lineRule="exact"/>
              <w:rPr>
                <w:sz w:val="1"/>
                <w:szCs w:val="1"/>
                <w:color w:val="auto"/>
              </w:rPr>
            </w:pPr>
          </w:p>
        </w:tc>
      </w:tr>
      <w:tr>
        <w:trPr>
          <w:trHeight w:val="229"/>
        </w:trPr>
        <w:tc>
          <w:tcPr>
            <w:tcW w:w="37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by $1.1 million, or 9%, primarily driven by a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employee compensation and benefit costs.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by $0.2 million, or 4%, primarily due to a $0.5 million increase 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benefit costs, partially offset by a $0.3 million decrease in marketing expenses.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$0.8 million, or 53%, primarily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 costs of $1.0 million, partially offset by a decrease in data service costs of $0.2 million.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Operating income for the three months ended March 31, 2025 decreased by $6.6 million, or 90%,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primarily driven by decreases in total revenues as discussed above.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and Interest Income</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73"/>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3"/>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2"/>
                <w:szCs w:val="22"/>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40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 in thousands)</w:t>
            </w:r>
          </w:p>
        </w:tc>
        <w:tc>
          <w:tcPr>
            <w:tcW w:w="4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7"/>
        </w:trPr>
        <w:tc>
          <w:tcPr>
            <w:tcW w:w="40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4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$0.2 million, or 7%, as a result of lower borrowing costs primarily due to a decrease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and a reduction in our principal balance during the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$0.5 million, or 16%, primarily due to a decrease in interest earned on our cash equivalents.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Income Taxes</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73"/>
        </w:trPr>
        <w:tc>
          <w:tcPr>
            <w:tcW w:w="4000" w:type="dxa"/>
            <w:vAlign w:val="bottom"/>
          </w:tcPr>
          <w:p>
            <w:pPr>
              <w:spacing w:after="0"/>
              <w:rPr>
                <w:sz w:val="24"/>
                <w:szCs w:val="24"/>
                <w:color w:val="auto"/>
              </w:rPr>
            </w:pPr>
          </w:p>
        </w:tc>
        <w:tc>
          <w:tcPr>
            <w:tcW w:w="35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3"/>
        </w:trPr>
        <w:tc>
          <w:tcPr>
            <w:tcW w:w="40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6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40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2"/>
          </w:tcPr>
          <w:p>
            <w:pPr>
              <w:jc w:val="center"/>
              <w:ind w:left="10"/>
              <w:spacing w:after="0"/>
              <w:rPr>
                <w:sz w:val="20"/>
                <w:szCs w:val="20"/>
                <w:color w:val="auto"/>
              </w:rPr>
            </w:pPr>
            <w:r>
              <w:rPr>
                <w:rFonts w:ascii="Arial" w:cs="Arial" w:eastAsia="Arial" w:hAnsi="Arial"/>
                <w:sz w:val="18"/>
                <w:szCs w:val="18"/>
                <w:i w:val="1"/>
                <w:iCs w:val="1"/>
                <w:color w:val="auto"/>
              </w:rPr>
              <w:t>($ in thousands)</w:t>
            </w:r>
          </w:p>
        </w:tc>
        <w:tc>
          <w:tcPr>
            <w:tcW w:w="4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3"/>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673</w:t>
            </w:r>
          </w:p>
        </w:tc>
        <w:tc>
          <w:tcPr>
            <w:tcW w:w="120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r>
      <w:tr>
        <w:trPr>
          <w:trHeight w:val="247"/>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1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2,437</w:t>
            </w:r>
          </w:p>
        </w:tc>
        <w:tc>
          <w:tcPr>
            <w:tcW w:w="4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3"/>
        </w:trPr>
        <w:tc>
          <w:tcPr>
            <w:tcW w:w="4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32.4%</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3"/>
        </w:trPr>
        <w:tc>
          <w:tcPr>
            <w:tcW w:w="4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Income tax expense decreased $2.4 million, primarily as a result of the impact of changes in our valuation allowance during the period and a decrease in income before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which may adversely affect our future expected cash flows. Despite this uncertainty,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macroeconomic conditions and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43"/>
        </w:trPr>
        <w:tc>
          <w:tcPr>
            <w:tcW w:w="764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1"/>
        </w:trPr>
        <w:tc>
          <w:tcPr>
            <w:tcW w:w="140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140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35"/>
        </w:trPr>
        <w:tc>
          <w:tcPr>
            <w:tcW w:w="14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2"/>
          </w:tcPr>
          <w:p>
            <w:pPr>
              <w:jc w:val="right"/>
              <w:ind w:right="1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20"/>
                <w:szCs w:val="20"/>
                <w:color w:val="auto"/>
              </w:rPr>
            </w:pPr>
          </w:p>
        </w:tc>
      </w:tr>
      <w:tr>
        <w:trPr>
          <w:trHeight w:val="25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11,006</w:t>
            </w:r>
          </w:p>
        </w:tc>
      </w:tr>
      <w:tr>
        <w:trPr>
          <w:trHeight w:val="247"/>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(606)</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
        </w:trPr>
        <w:tc>
          <w:tcPr>
            <w:tcW w:w="76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3"/>
        </w:trPr>
        <w:tc>
          <w:tcPr>
            <w:tcW w:w="140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provided by (used in) operating activities reflect net income adjusted for certain non-cash items and changes in operating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Condensed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35"/>
        </w:trPr>
        <w:tc>
          <w:tcPr>
            <w:tcW w:w="7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spacing w:after="0"/>
              <w:rPr>
                <w:sz w:val="20"/>
                <w:szCs w:val="20"/>
                <w:color w:val="auto"/>
              </w:rPr>
            </w:pPr>
          </w:p>
        </w:tc>
      </w:tr>
      <w:tr>
        <w:trPr>
          <w:trHeight w:val="27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5,087</w:t>
            </w:r>
          </w:p>
        </w:tc>
      </w:tr>
      <w:tr>
        <w:trPr>
          <w:trHeight w:val="247"/>
        </w:trPr>
        <w:tc>
          <w:tcPr>
            <w:tcW w:w="7640" w:type="dxa"/>
            <w:vAlign w:val="bottom"/>
          </w:tcPr>
          <w:p>
            <w:pPr>
              <w:ind w:left="140"/>
              <w:spacing w:after="0"/>
              <w:rPr>
                <w:sz w:val="20"/>
                <w:szCs w:val="20"/>
                <w:color w:val="auto"/>
              </w:rPr>
            </w:pPr>
            <w:r>
              <w:rPr>
                <w:rFonts w:ascii="Arial" w:cs="Arial" w:eastAsia="Arial" w:hAnsi="Arial"/>
                <w:sz w:val="18"/>
                <w:szCs w:val="18"/>
                <w:color w:val="auto"/>
              </w:rPr>
              <w:t>Non-cash adjustments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4,690</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contract assets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47"/>
        </w:trPr>
        <w:tc>
          <w:tcPr>
            <w:tcW w:w="7640" w:type="dxa"/>
            <w:vAlign w:val="bottom"/>
          </w:tcPr>
          <w:p>
            <w:pPr>
              <w:ind w:left="140"/>
              <w:spacing w:after="0"/>
              <w:rPr>
                <w:sz w:val="20"/>
                <w:szCs w:val="20"/>
                <w:color w:val="auto"/>
              </w:rPr>
            </w:pPr>
            <w:r>
              <w:rPr>
                <w:rFonts w:ascii="Arial" w:cs="Arial" w:eastAsia="Arial" w:hAnsi="Arial"/>
                <w:sz w:val="18"/>
                <w:szCs w:val="18"/>
                <w:color w:val="auto"/>
              </w:rPr>
              <w:t>Change in excess profit share receipts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(3,838)</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11,006</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(used in) operating activities decreased by $14.8 million, primarily attributable to decreased cash collections of $8.9 million related to reduced revenues, $3.1 million decrease in income tax refunds, a $1.6 million increase in cash payments related to cost of services and operating expenses and a $0.5 million decrease in interest income received. The decrease in cash provided by (used in) operating activities was partially offset by a $1.1 million reduction in interest expense payments during the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both the three months ended March 31, 2025 and 2024, net cash used in investing activities was $0.6 million, primarily related to capitalized software development costs related to our cloud-based solution and other software developed for internal use.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used in financing activities primarily consist of payments of debt and share repurchases to satisfy withholding tax requirements associated with the vesting of restricted stock awards.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2025, net cash used in financing activities was $2.6 million and includes a $1.9 million principal payment on our Term Loan due 2027 and $0.8 million for shares withheld for payroll taxes associated with the vesting of restricted stock awards.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2024, net cash used in financing activities was $2.0 million and includes $1.0 million for shares withheld for taxes related to vesting of restricted stock awards and a $0.9 million principal payment on our Term Loan due 2027.</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2025, we had no amounts outstanding under the Revolving Credit Facility and $137.9 million outstanding under our Term Loan due 2027. Refer to Note 4</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further discussion.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 2025, the Board of Directors authorized the Share Repurchase Program allowing the Company to repurchase up to $25.0 million of the Company’s outstanding common stock until May 1, 2026. Repurchases may be made at management’s discretion from time to time in the open market. The Share Repurchase Program may be suspended, amended, or discontinued at any time.</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and Adjusted EBITDA margin are non-GAAP financial measures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These measures further provide useful analysis of period-to-period comparisons of our business, as they exclude the effect of certain non-cash items and certain variable charges. Adjusted EBITDA is defined as GAAP net income excluding interest expense, income tax expense, depreciation expense of property and equipment, amortization expense of capitalized software development costs and share-based compensation expense. Adjusted EBITDA margin is defined as Adjusted EBITDA expressed as a percentage of total revenue.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73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47"/>
        </w:trPr>
        <w:tc>
          <w:tcPr>
            <w:tcW w:w="7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00" w:type="dxa"/>
            <w:vAlign w:val="bottom"/>
            <w:gridSpan w:val="4"/>
          </w:tcPr>
          <w:p>
            <w:pPr>
              <w:jc w:val="right"/>
              <w:ind w:right="450"/>
              <w:spacing w:after="0"/>
              <w:rPr>
                <w:sz w:val="20"/>
                <w:szCs w:val="20"/>
                <w:color w:val="auto"/>
              </w:rPr>
            </w:pPr>
            <w:r>
              <w:rPr>
                <w:rFonts w:ascii="Arial" w:cs="Arial" w:eastAsia="Arial" w:hAnsi="Arial"/>
                <w:sz w:val="18"/>
                <w:szCs w:val="18"/>
                <w:i w:val="1"/>
                <w:iCs w:val="1"/>
                <w:color w:val="auto"/>
              </w:rPr>
              <w:t>(in thousands, except margin data)</w:t>
            </w:r>
          </w:p>
        </w:tc>
      </w:tr>
      <w:tr>
        <w:trPr>
          <w:trHeight w:val="2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5,087</w:t>
            </w:r>
          </w:p>
        </w:tc>
      </w:tr>
      <w:tr>
        <w:trPr>
          <w:trHeight w:val="247"/>
        </w:trPr>
        <w:tc>
          <w:tcPr>
            <w:tcW w:w="736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2,770</w:t>
            </w:r>
          </w:p>
        </w:tc>
      </w:tr>
      <w:tr>
        <w:trPr>
          <w:trHeight w:val="247"/>
        </w:trPr>
        <w:tc>
          <w:tcPr>
            <w:tcW w:w="73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2,437</w:t>
            </w:r>
          </w:p>
        </w:tc>
      </w:tr>
      <w:tr>
        <w:trPr>
          <w:trHeight w:val="23"/>
        </w:trPr>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r>
      <w:tr>
        <w:trPr>
          <w:trHeight w:val="247"/>
        </w:trPr>
        <w:tc>
          <w:tcPr>
            <w:tcW w:w="73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1,854</w:t>
            </w:r>
          </w:p>
        </w:tc>
      </w:tr>
      <w:tr>
        <w:trPr>
          <w:trHeight w:val="2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5,035</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7,433</w:t>
            </w:r>
          </w:p>
        </w:tc>
      </w:tr>
      <w:tr>
        <w:trPr>
          <w:trHeight w:val="270"/>
        </w:trPr>
        <w:tc>
          <w:tcPr>
            <w:tcW w:w="73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5,652</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12,520</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4"/>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24,393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30,745</w:t>
            </w:r>
          </w:p>
        </w:tc>
      </w:tr>
      <w:tr>
        <w:trPr>
          <w:trHeight w:val="255"/>
        </w:trPr>
        <w:tc>
          <w:tcPr>
            <w:tcW w:w="736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41 %</w:t>
            </w:r>
          </w:p>
        </w:tc>
      </w:tr>
    </w:tbl>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2025, Adjusted EBITDA decreased by $6.9 million, or 55%, as compared to the three months ended March 31, 2024. The decrease in Adjusted EBITDA during the three months ended March 31, 2025 reflects the decrease in operating income, primarily driven by our reduced profit share revenue related to the decrease in unit economics per certified loan and lower certified loan volume.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not been any material changes during the three months ended March 31, 2025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Operations—Critical Accounting Policies and Estimates</w:t>
      </w:r>
      <w:r>
        <w:rPr>
          <w:rFonts w:ascii="Arial" w:cs="Arial" w:eastAsia="Arial" w:hAnsi="Arial"/>
          <w:sz w:val="18"/>
          <w:szCs w:val="18"/>
          <w:color w:val="auto"/>
        </w:rPr>
        <w:t>” in our Annual Report for further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critical accounting policies and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Refer to Note 2—Summary of Significant Accounting and Reporting Policies to the accompanying condensed consolidated financial statements for our discussion about new accounting pronouncements adopted and those pending.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no material changes in our contractual commitments and obligations during the three months ended March 31, 2025 from the amounts listed under “</w:t>
      </w:r>
      <w:r>
        <w:rPr>
          <w:rFonts w:ascii="Arial" w:cs="Arial" w:eastAsia="Arial" w:hAnsi="Arial"/>
          <w:sz w:val="18"/>
          <w:szCs w:val="18"/>
          <w:i w:val="1"/>
          <w:iCs w:val="1"/>
          <w:color w:val="auto"/>
        </w:rPr>
        <w:t>Part II, Item 7. Management’s Discussion and Analysis of Financial Condition and Results of Operations—Contractual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in our Annual Report.</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our three active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Term Loan due 2027 also exposes us to changes in short-term interest rates since interest rates on the underlying obligation are variable.</w:t>
      </w:r>
    </w:p>
    <w:p>
      <w:pPr>
        <w:spacing w:after="0" w:line="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2025, we had outstanding amounts of $138.8 million under the Term Loan due 2027, which is scheduled to mature on September 9, 2027. There were no amounts outstanding under the Revolving Credit Facility as of March 31, 2025.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described herein, 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2025, a putative shareholder class action lawsuit was filed against the Company and our three former Chief Executive Officers in the U.S. District Court for the Western District of Texas. The class action is purportedly brought on behalf of persons who allegedly suffered damages as a result of alleged materially false and/or misleading statements and omissions about our business, operations, and prospects in violation of Sections 10(b) and 20(a) of the Exchange Act, and Rule 10b-5 promulgated thereunder. The complaint alleges that defendants:</w:t>
      </w:r>
    </w:p>
    <w:p>
      <w:pPr>
        <w:spacing w:after="0" w:line="2" w:lineRule="exact"/>
        <w:rPr>
          <w:sz w:val="20"/>
          <w:szCs w:val="20"/>
          <w:color w:val="auto"/>
        </w:rPr>
      </w:pPr>
    </w:p>
    <w:p>
      <w:pPr>
        <w:jc w:val="both"/>
        <w:ind w:firstLine="8"/>
        <w:spacing w:after="0" w:line="253" w:lineRule="auto"/>
        <w:tabs>
          <w:tab w:leader="none" w:pos="288" w:val="left"/>
        </w:tabs>
        <w:numPr>
          <w:ilvl w:val="0"/>
          <w:numId w:val="7"/>
        </w:numPr>
        <w:rPr>
          <w:rFonts w:ascii="Arial" w:cs="Arial" w:eastAsia="Arial" w:hAnsi="Arial"/>
          <w:sz w:val="18"/>
          <w:szCs w:val="18"/>
          <w:color w:val="auto"/>
        </w:rPr>
      </w:pPr>
      <w:r>
        <w:rPr>
          <w:rFonts w:ascii="Arial" w:cs="Arial" w:eastAsia="Arial" w:hAnsi="Arial"/>
          <w:sz w:val="18"/>
          <w:szCs w:val="18"/>
          <w:color w:val="auto"/>
        </w:rPr>
        <w:t>misrepresented the capabilities of the Company’s risk-based pricing models; (2) issued materially misleading statements regarding the Company’s profit share revenue; (3) failed to disclose the Company’s 2021 and 2022 vintage loans had become worth significantly less than their corresponding outstanding loan balances; (4) misrepresented the underperformance of the Company’s 2023 and 2024 vintage loans; and (5) as a result of the foregoing, Defendants’ positive statements about the Company’s business, operations, and prospects were materially misleading and/or lacked a reasonable basis. Motions for appointment of lead plaintiff are due on June 30, 2025. We cannot predict the timing, outcome or consequences of the class action at the current stage. Moreover, involvement in securities litigation against us could result in substantial costs and divert management’s attention from other business concerns, which could seriously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number of participants in the consumer finance industry have been the subject of punitive class action lawsuits. For example, in May 2025, a putative shareholder class action lawsuit was filed against the Company and its three former Chief Executive Officers in the U.S. District Court for the Western District of Texas. The class action is purportedly brought on behalf of persons who allegedly suffered damages as a result of alleged materially false and/or misleading statements and omissions about the Company’s business, operations, and prospects in violation of Sections 10(b) and 20(a) of the Exchange Act, and Rule 10b-5 promulgated thereunder. See Part II, Item 1, Legal Proceedings for further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Companies in the consumer finance industry have also been the subject of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 Such securities litigation could also give rise to perceived uncertainties as to our future, adversely affect our relationships with our partners and make it more difficult to attract and retain qualified personnel. Further, our stock price could be subject to significant fluctuation or otherwise be adversely affected by the events, risks and uncertainties related to any securities litigation.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March 31, 2025.</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center"/>
              <w:ind w:right="35"/>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80" w:type="dxa"/>
            <w:vAlign w:val="bottom"/>
            <w:vMerge w:val="restart"/>
          </w:tcPr>
          <w:p>
            <w:pPr>
              <w:jc w:val="center"/>
              <w:ind w:right="35"/>
              <w:spacing w:after="0"/>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purchased as part of publicly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price paid</w:t>
            </w:r>
          </w:p>
        </w:tc>
        <w:tc>
          <w:tcPr>
            <w:tcW w:w="2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purchased under the plans or</w:t>
            </w:r>
          </w:p>
        </w:tc>
        <w:tc>
          <w:tcPr>
            <w:tcW w:w="0" w:type="dxa"/>
            <w:vAlign w:val="bottom"/>
          </w:tcPr>
          <w:p>
            <w:pPr>
              <w:spacing w:after="0"/>
              <w:rPr>
                <w:sz w:val="1"/>
                <w:szCs w:val="1"/>
                <w:color w:val="auto"/>
              </w:rPr>
            </w:pPr>
          </w:p>
        </w:tc>
      </w:tr>
      <w:tr>
        <w:trPr>
          <w:trHeight w:val="163"/>
        </w:trPr>
        <w:tc>
          <w:tcPr>
            <w:tcW w:w="258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3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announced plans or programs</w:t>
            </w:r>
          </w:p>
        </w:tc>
        <w:tc>
          <w:tcPr>
            <w:tcW w:w="12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right="35"/>
              <w:spacing w:after="0" w:line="203" w:lineRule="exact"/>
              <w:rPr>
                <w:sz w:val="20"/>
                <w:szCs w:val="20"/>
                <w:color w:val="auto"/>
              </w:rPr>
            </w:pPr>
            <w:r>
              <w:rPr>
                <w:rFonts w:ascii="Arial" w:cs="Arial" w:eastAsia="Arial" w:hAnsi="Arial"/>
                <w:sz w:val="16"/>
                <w:szCs w:val="16"/>
                <w:b w:val="1"/>
                <w:bCs w:val="1"/>
                <w:color w:val="auto"/>
                <w:w w:val="99"/>
              </w:rPr>
              <w:t xml:space="preserve">programs (in millions) </w:t>
            </w:r>
            <w:r>
              <w:rPr>
                <w:rFonts w:ascii="Arial" w:cs="Arial" w:eastAsia="Arial" w:hAnsi="Arial"/>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1 - 31, 2025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February 1 - 28, 2025</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tcPr>
          <w:p>
            <w:pPr>
              <w:ind w:left="2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1 - 31, 2025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top w:val="single" w:sz="8" w:color="auto"/>
              <w:bottom w:val="single" w:sz="8" w:color="auto"/>
            </w:tcBorders>
          </w:tcPr>
          <w:p>
            <w:pPr>
              <w:ind w:left="2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8"/>
        <w:spacing w:after="0"/>
        <w:tabs>
          <w:tab w:leader="none" w:pos="171"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Includes shares purchased from employees to satisfy their payroll tax withholding obligations related to share-based awards that vested during those months.</w:t>
      </w:r>
    </w:p>
    <w:p>
      <w:pPr>
        <w:spacing w:after="0" w:line="202" w:lineRule="exact"/>
        <w:rPr>
          <w:rFonts w:ascii="Arial" w:cs="Arial" w:eastAsia="Arial" w:hAnsi="Arial"/>
          <w:sz w:val="20"/>
          <w:szCs w:val="20"/>
          <w:color w:val="auto"/>
          <w:vertAlign w:val="superscript"/>
        </w:rPr>
      </w:pPr>
    </w:p>
    <w:p>
      <w:pPr>
        <w:ind w:right="20" w:firstLine="8"/>
        <w:spacing w:after="0"/>
        <w:tabs>
          <w:tab w:leader="none" w:pos="171"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On May 1, 2025, our Board of Directors authorized share repurchases under the Share Repurchase Program for up to $25.0 million, effective through May 1, 2026.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Arrangements</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1">
        <w:r>
          <w:rPr>
            <w:rFonts w:ascii="Arial" w:cs="Arial" w:eastAsia="Arial" w:hAnsi="Arial"/>
            <w:sz w:val="18"/>
            <w:szCs w:val="18"/>
            <w:u w:val="single" w:color="auto"/>
            <w:color w:val="0000FF"/>
          </w:rPr>
          <w:t>Amended and Restated Certificate of Incorporation of Open Lending Corporation (incorporated by reference to Exhibit 3.1 to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Open Lending Corporation’s Current Report on Form 8-K filed June 15, 2020).</w:t>
        </w:r>
      </w:hyperlink>
    </w:p>
    <w:p>
      <w:pPr>
        <w:spacing w:after="0" w:line="45" w:lineRule="exact"/>
        <w:rPr>
          <w:sz w:val="20"/>
          <w:szCs w:val="20"/>
          <w:color w:val="auto"/>
        </w:rPr>
      </w:pPr>
    </w:p>
    <w:p>
      <w:pPr>
        <w:ind w:left="1180" w:hanging="83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52">
        <w:r>
          <w:rPr>
            <w:rFonts w:ascii="Arial" w:cs="Arial" w:eastAsia="Arial" w:hAnsi="Arial"/>
            <w:sz w:val="18"/>
            <w:szCs w:val="18"/>
            <w:u w:val="single" w:color="auto"/>
            <w:color w:val="0000FF"/>
          </w:rPr>
          <w:t>Amended and Restated Bylaws of Open Lending Corporation (incorporated by reference to Exhibit 3.2 to Open Lending</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Corporation’s Current Report on Form 8-K filed June 15, 2020).</w:t>
        </w:r>
      </w:hyperlink>
    </w:p>
    <w:p>
      <w:pPr>
        <w:spacing w:after="0" w:line="45" w:lineRule="exact"/>
        <w:rPr>
          <w:sz w:val="20"/>
          <w:szCs w:val="20"/>
          <w:color w:val="auto"/>
        </w:rPr>
      </w:pPr>
    </w:p>
    <w:p>
      <w:pPr>
        <w:ind w:left="1180" w:right="160" w:hanging="887"/>
        <w:spacing w:after="0" w:line="31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53">
        <w:r>
          <w:rPr>
            <w:rFonts w:ascii="Arial" w:cs="Arial" w:eastAsia="Arial" w:hAnsi="Arial"/>
            <w:sz w:val="17"/>
            <w:szCs w:val="17"/>
            <w:u w:val="single" w:color="auto"/>
            <w:color w:val="0000FF"/>
          </w:rPr>
          <w:t>Transition Services Agreement by and between Open Lending Corporation and Charles D. Jehl, dated March 31, 2025</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(incorporated by reference to Exhibit 10.2 to Open Lending Corporation’s Current Report on Form 8-K filed March 31, 2025).</w:t>
        </w:r>
      </w:hyperlink>
    </w:p>
    <w:p>
      <w:pPr>
        <w:spacing w:after="0" w:line="22" w:lineRule="exact"/>
        <w:rPr>
          <w:sz w:val="20"/>
          <w:szCs w:val="20"/>
          <w:color w:val="auto"/>
        </w:rPr>
      </w:pPr>
    </w:p>
    <w:p>
      <w:pPr>
        <w:ind w:left="1180" w:right="220" w:hanging="887"/>
        <w:spacing w:after="0" w:line="31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54">
        <w:r>
          <w:rPr>
            <w:rFonts w:ascii="Arial" w:cs="Arial" w:eastAsia="Arial" w:hAnsi="Arial"/>
            <w:sz w:val="17"/>
            <w:szCs w:val="17"/>
            <w:u w:val="single" w:color="auto"/>
            <w:color w:val="0000FF"/>
          </w:rPr>
          <w:t>Employment Agreement by and between Open Lending Corporation and Jessica Buss, dated March 31, 2025 (incorporated</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by reference to Exhibit 10.1 to Open Lending Corporation’s Current Report on Form 8-K filed March 31, 2025).</w:t>
        </w:r>
      </w:hyperlink>
    </w:p>
    <w:p>
      <w:pPr>
        <w:spacing w:after="0" w:line="22" w:lineRule="exact"/>
        <w:rPr>
          <w:sz w:val="20"/>
          <w:szCs w:val="20"/>
          <w:color w:val="auto"/>
        </w:rPr>
      </w:pPr>
    </w:p>
    <w:p>
      <w:pPr>
        <w:ind w:left="1180" w:right="120" w:hanging="887"/>
        <w:spacing w:after="0" w:line="28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5">
        <w:r>
          <w:rPr>
            <w:rFonts w:ascii="Arial" w:cs="Arial" w:eastAsia="Arial" w:hAnsi="Arial"/>
            <w:sz w:val="18"/>
            <w:szCs w:val="18"/>
            <w:u w:val="single" w:color="auto"/>
            <w:color w:val="0000FF"/>
          </w:rPr>
          <w:t>Offer Letter by and between Open Lending Corporation and Michelle Glasl, dated March 31, 2025 (incorporated by reference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to Exhibit 10.3 to Open Lending Corporation’s Current Report on Form 8-K filed March 31, 2025).</w:t>
        </w:r>
      </w:hyperlink>
    </w:p>
    <w:p>
      <w:pPr>
        <w:spacing w:after="0" w:line="45"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 pursuant to Section 302 of the Sarbanes-Oxley Act of 2002.</w:t>
      </w:r>
    </w:p>
    <w:p>
      <w:pPr>
        <w:spacing w:after="0" w:line="117"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Interim Chief Financial Officer pursuant to Section 302 of the Sarbanes-Oxley Act of 2002.</w:t>
      </w:r>
    </w:p>
    <w:p>
      <w:pPr>
        <w:spacing w:after="0" w:line="117" w:lineRule="exact"/>
        <w:rPr>
          <w:sz w:val="20"/>
          <w:szCs w:val="20"/>
          <w:color w:val="auto"/>
        </w:rPr>
      </w:pPr>
    </w:p>
    <w:p>
      <w:pPr>
        <w:ind w:left="1180" w:right="160" w:hanging="957"/>
        <w:spacing w:after="0" w:line="28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the Chief Executive Officer and Interim Chief Financial Officer pursuant to Section 906 of the Sarbanes-Oxley Act of 2002 (18 U.S.C. § 1350).</w:t>
      </w:r>
    </w:p>
    <w:p>
      <w:pPr>
        <w:spacing w:after="0" w:line="45" w:lineRule="exact"/>
        <w:rPr>
          <w:sz w:val="20"/>
          <w:szCs w:val="20"/>
          <w:color w:val="auto"/>
        </w:rPr>
      </w:pPr>
    </w:p>
    <w:p>
      <w:pPr>
        <w:ind w:left="1180" w:hanging="899"/>
        <w:spacing w:after="0" w:line="287"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from Open Lending Corporation’s Quarterly Report on Form 10-Q for the quarterly period ended March 31, 2025, formatted in iXBRL (Inline eXtensible Business Reporting Language):</w:t>
      </w:r>
    </w:p>
    <w:p>
      <w:pPr>
        <w:spacing w:after="0" w:line="45" w:lineRule="exact"/>
        <w:rPr>
          <w:sz w:val="20"/>
          <w:szCs w:val="20"/>
          <w:color w:val="auto"/>
        </w:rPr>
      </w:pPr>
    </w:p>
    <w:p>
      <w:pPr>
        <w:ind w:left="1380" w:hanging="207"/>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Condensed Consolidated Balance Sheets</w:t>
      </w:r>
    </w:p>
    <w:p>
      <w:pPr>
        <w:spacing w:after="0" w:line="117" w:lineRule="exact"/>
        <w:rPr>
          <w:rFonts w:ascii="Arial" w:cs="Arial" w:eastAsia="Arial" w:hAnsi="Arial"/>
          <w:sz w:val="18"/>
          <w:szCs w:val="18"/>
          <w:color w:val="auto"/>
        </w:rPr>
      </w:pPr>
    </w:p>
    <w:p>
      <w:pPr>
        <w:ind w:left="1420" w:hanging="247"/>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Condensed Consolidated Statement of Operations</w:t>
      </w:r>
    </w:p>
    <w:p>
      <w:pPr>
        <w:spacing w:after="0" w:line="117" w:lineRule="exact"/>
        <w:rPr>
          <w:rFonts w:ascii="Arial" w:cs="Arial" w:eastAsia="Arial" w:hAnsi="Arial"/>
          <w:sz w:val="18"/>
          <w:szCs w:val="18"/>
          <w:color w:val="auto"/>
        </w:rPr>
      </w:pPr>
    </w:p>
    <w:p>
      <w:pPr>
        <w:ind w:left="1460" w:hanging="28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Condensed Consolidated Statements of Changes in Stockholders’ Equity</w:t>
      </w:r>
    </w:p>
    <w:p>
      <w:pPr>
        <w:spacing w:after="0" w:line="117" w:lineRule="exact"/>
        <w:rPr>
          <w:rFonts w:ascii="Arial" w:cs="Arial" w:eastAsia="Arial" w:hAnsi="Arial"/>
          <w:sz w:val="18"/>
          <w:szCs w:val="18"/>
          <w:color w:val="auto"/>
        </w:rPr>
      </w:pPr>
    </w:p>
    <w:p>
      <w:pPr>
        <w:ind w:left="1480" w:hanging="30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Condensed Consolidated Statements of Cash Flows</w:t>
      </w:r>
    </w:p>
    <w:p>
      <w:pPr>
        <w:spacing w:after="0" w:line="117" w:lineRule="exact"/>
        <w:rPr>
          <w:rFonts w:ascii="Arial" w:cs="Arial" w:eastAsia="Arial" w:hAnsi="Arial"/>
          <w:sz w:val="18"/>
          <w:szCs w:val="18"/>
          <w:color w:val="auto"/>
        </w:rPr>
      </w:pPr>
    </w:p>
    <w:p>
      <w:pPr>
        <w:ind w:left="1440" w:hanging="267"/>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17"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376" w:lineRule="exact"/>
        <w:rPr>
          <w:sz w:val="20"/>
          <w:szCs w:val="20"/>
          <w:color w:val="auto"/>
        </w:rPr>
      </w:pPr>
    </w:p>
    <w:p>
      <w:pPr>
        <w:ind w:left="1180" w:hanging="75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790"/>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2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540"/>
        </w:trPr>
        <w:tc>
          <w:tcPr>
            <w:tcW w:w="53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 Jessica Buss</w:t>
            </w:r>
          </w:p>
        </w:tc>
      </w:tr>
      <w:tr>
        <w:trPr>
          <w:trHeight w:val="23"/>
        </w:trPr>
        <w:tc>
          <w:tcPr>
            <w:tcW w:w="530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41"/>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Jessica Buss</w:t>
            </w:r>
          </w:p>
        </w:tc>
      </w:tr>
      <w:tr>
        <w:trPr>
          <w:trHeight w:val="247"/>
        </w:trPr>
        <w:tc>
          <w:tcPr>
            <w:tcW w:w="5300" w:type="dxa"/>
            <w:vAlign w:val="bottom"/>
          </w:tcPr>
          <w:p>
            <w:pPr>
              <w:spacing w:after="0"/>
              <w:rPr>
                <w:sz w:val="20"/>
                <w:szCs w:val="20"/>
                <w:color w:val="auto"/>
              </w:rPr>
            </w:pPr>
            <w:r>
              <w:rPr>
                <w:rFonts w:ascii="Arial" w:cs="Arial" w:eastAsia="Arial" w:hAnsi="Arial"/>
                <w:sz w:val="18"/>
                <w:szCs w:val="18"/>
                <w:color w:val="auto"/>
              </w:rPr>
              <w:t>May 8, 2025</w:t>
            </w: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72"/>
        </w:trPr>
        <w:tc>
          <w:tcPr>
            <w:tcW w:w="53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 Charles D. Jehl</w:t>
            </w:r>
          </w:p>
        </w:tc>
      </w:tr>
      <w:tr>
        <w:trPr>
          <w:trHeight w:val="23"/>
        </w:trPr>
        <w:tc>
          <w:tcPr>
            <w:tcW w:w="530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41"/>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247"/>
        </w:trPr>
        <w:tc>
          <w:tcPr>
            <w:tcW w:w="5300" w:type="dxa"/>
            <w:vAlign w:val="bottom"/>
          </w:tcPr>
          <w:p>
            <w:pPr>
              <w:spacing w:after="0"/>
              <w:rPr>
                <w:sz w:val="20"/>
                <w:szCs w:val="20"/>
                <w:color w:val="auto"/>
              </w:rPr>
            </w:pPr>
            <w:r>
              <w:rPr>
                <w:rFonts w:ascii="Arial" w:cs="Arial" w:eastAsia="Arial" w:hAnsi="Arial"/>
                <w:sz w:val="18"/>
                <w:szCs w:val="18"/>
                <w:color w:val="auto"/>
              </w:rPr>
              <w:t>May 8, 2025</w:t>
            </w:r>
          </w:p>
        </w:tc>
        <w:tc>
          <w:tcPr>
            <w:tcW w:w="592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2"/>
        </w:trPr>
        <w:tc>
          <w:tcPr>
            <w:tcW w:w="5300" w:type="dxa"/>
            <w:vAlign w:val="bottom"/>
          </w:tcPr>
          <w:p>
            <w:pPr>
              <w:spacing w:after="0"/>
              <w:rPr>
                <w:sz w:val="24"/>
                <w:szCs w:val="24"/>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40"/>
          </w:cols>
          <w:pgMar w:left="320" w:top="17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Jessica Buss, certify that:</w:t>
      </w:r>
    </w:p>
    <w:p>
      <w:pPr>
        <w:spacing w:after="0" w:line="117"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Date: May 8, 2025</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Jessica Buss</w:t>
            </w:r>
          </w:p>
        </w:tc>
      </w:tr>
      <w:tr>
        <w:trPr>
          <w:trHeight w:val="218"/>
        </w:trPr>
        <w:tc>
          <w:tcPr>
            <w:tcW w:w="530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Jessica Buss</w:t>
            </w:r>
          </w:p>
        </w:tc>
      </w:tr>
      <w:tr>
        <w:trPr>
          <w:trHeight w:val="181"/>
        </w:trPr>
        <w:tc>
          <w:tcPr>
            <w:tcW w:w="530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r>
              <w:rPr>
                <w:rFonts w:ascii="Arial" w:cs="Arial" w:eastAsia="Arial" w:hAnsi="Arial"/>
                <w:sz w:val="18"/>
                <w:szCs w:val="18"/>
                <w:color w:val="auto"/>
              </w:rPr>
              <w:t>Date: May 8, 2025</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530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5300" w:type="dxa"/>
            <w:vAlign w:val="bottom"/>
          </w:tcPr>
          <w:p>
            <w:pPr>
              <w:spacing w:after="0"/>
              <w:rPr>
                <w:sz w:val="15"/>
                <w:szCs w:val="15"/>
                <w:color w:val="auto"/>
              </w:rPr>
            </w:pPr>
          </w:p>
        </w:tc>
        <w:tc>
          <w:tcPr>
            <w:tcW w:w="5920" w:type="dxa"/>
            <w:vAlign w:val="bottom"/>
          </w:tcPr>
          <w:p>
            <w:pPr>
              <w:ind w:left="20"/>
              <w:spacing w:after="0" w:line="181" w:lineRule="exact"/>
              <w:rPr>
                <w:sz w:val="20"/>
                <w:szCs w:val="20"/>
                <w:color w:val="auto"/>
              </w:rPr>
            </w:pPr>
            <w:r>
              <w:rPr>
                <w:rFonts w:ascii="Arial" w:cs="Arial" w:eastAsia="Arial" w:hAnsi="Arial"/>
                <w:sz w:val="18"/>
                <w:szCs w:val="18"/>
                <w:color w:val="auto"/>
              </w:rPr>
              <w:t>Interim Chief Financial Officer</w:t>
            </w:r>
          </w:p>
        </w:tc>
      </w:tr>
      <w:tr>
        <w:trPr>
          <w:trHeight w:val="239"/>
        </w:trPr>
        <w:tc>
          <w:tcPr>
            <w:tcW w:w="53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quarter ended March 31, 2025 of Open Lending Corporation, a Delaware corporation (the “Company”), as filed with the Securities and Exchange Commission on the date hereof (the “Form 10-Q”), I, Jessica Buss,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300" w:hanging="492"/>
        <w:spacing w:after="0" w:line="287"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Jessica Buss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Jessica Buss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ind w:left="52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May 8, 2025</w:t>
      </w:r>
    </w:p>
    <w:p>
      <w:pPr>
        <w:spacing w:after="0" w:line="3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for the quarter ended March 31, 2025 of Open Lending Corporation, a Delaware corporation (the “Company”), as filed with the Securities and Exchange Commission on the date hereof (the “Form 10-Q”), I, Charles D. Jehl, Interim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40" w:hanging="492"/>
        <w:spacing w:after="0" w:line="287" w:lineRule="auto"/>
        <w:tabs>
          <w:tab w:leader="none" w:pos="4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40" w:hanging="492"/>
        <w:spacing w:after="0" w:line="287"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Form 10-Qfairly presents, in all material respects, the financial condition and result of operations of the Company.</w:t>
      </w:r>
    </w:p>
    <w:p>
      <w:pPr>
        <w:spacing w:after="0" w:line="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3840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Charles D. Jehl</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Interim Chief Financial Officer</w:t>
      </w:r>
    </w:p>
    <w:p>
      <w:pPr>
        <w:ind w:left="5220"/>
        <w:spacing w:after="0"/>
        <w:rPr>
          <w:sz w:val="20"/>
          <w:szCs w:val="20"/>
          <w:color w:val="auto"/>
        </w:rPr>
      </w:pPr>
      <w:r>
        <w:rPr>
          <w:rFonts w:ascii="Arial" w:cs="Arial" w:eastAsia="Arial" w:hAnsi="Arial"/>
          <w:sz w:val="18"/>
          <w:szCs w:val="18"/>
          <w:color w:val="auto"/>
        </w:rPr>
        <w:t>(Principal Financial and Accounting Officer)</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May 8, 2025</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Roman"/>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1" Type="http://schemas.openxmlformats.org/officeDocument/2006/relationships/hyperlink" Target="https://www.sec.gov/Archives/edgar/data/1806201/000119312520169633/d941403dex31.htm" TargetMode="External"/><Relationship Id="rId52" Type="http://schemas.openxmlformats.org/officeDocument/2006/relationships/hyperlink" Target="https://www.sec.gov/Archives/edgar/data/1806201/000119312520169633/d941403dex32.htm" TargetMode="External"/><Relationship Id="rId53" Type="http://schemas.openxmlformats.org/officeDocument/2006/relationships/hyperlink" Target="https://www.sec.gov/Archives/edgar/data/1806201/000119312525068758/d901006dex102.htm" TargetMode="External"/><Relationship Id="rId54" Type="http://schemas.openxmlformats.org/officeDocument/2006/relationships/hyperlink" Target="https://www.sec.gov/Archives/edgar/data/1806201/000119312525068758/d901006dex101.htm" TargetMode="External"/><Relationship Id="rId55" Type="http://schemas.openxmlformats.org/officeDocument/2006/relationships/hyperlink" Target="https://www.sec.gov/Archives/edgar/data/1806201/000119312525068758/d90100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2025-05-08T15:25:15Z</dcterms:created>
  <dcterms:modified xsi:type="dcterms:W3CDTF">2025-05-08T15:25:15Z</dcterms:modified>
</cp:coreProperties>
</file>