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460" w:right="240" w:hanging="434"/>
        <w:spacing w:after="0" w:line="250"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131445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1460" w:type="dxa"/>
        <w:tblCellMar>
          <w:top w:w="0" w:type="dxa"/>
          <w:left w:w="0" w:type="dxa"/>
          <w:bottom w:w="0" w:type="dxa"/>
          <w:right w:w="0" w:type="dxa"/>
        </w:tblCellMar>
      </w:tblP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9"/>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26"/>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500" w:type="dxa"/>
            <w:vAlign w:val="bottom"/>
          </w:tcPr>
          <w:p>
            <w:pPr>
              <w:jc w:val="center"/>
              <w:ind w:right="1738"/>
              <w:spacing w:after="0" w:line="180" w:lineRule="exact"/>
              <w:rPr>
                <w:sz w:val="20"/>
                <w:szCs w:val="20"/>
                <w:color w:val="auto"/>
              </w:rPr>
            </w:pPr>
            <w:r>
              <w:rPr>
                <w:rFonts w:ascii="Arial" w:cs="Arial" w:eastAsia="Arial" w:hAnsi="Arial"/>
                <w:sz w:val="18"/>
                <w:szCs w:val="18"/>
                <w:b w:val="1"/>
                <w:bCs w:val="1"/>
                <w:color w:val="auto"/>
              </w:rPr>
              <w:t>Suite 450</w:t>
            </w:r>
          </w:p>
        </w:tc>
        <w:tc>
          <w:tcPr>
            <w:tcW w:w="3040" w:type="dxa"/>
            <w:vAlign w:val="bottom"/>
            <w:vMerge w:val="restart"/>
          </w:tcPr>
          <w:p>
            <w:pPr>
              <w:jc w:val="right"/>
              <w:ind w:right="28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00" w:type="dxa"/>
            <w:vAlign w:val="bottom"/>
          </w:tcPr>
          <w:p>
            <w:pPr>
              <w:spacing w:after="0"/>
              <w:rPr>
                <w:sz w:val="21"/>
                <w:szCs w:val="21"/>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1"/>
                <w:szCs w:val="21"/>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236" w:lineRule="exact"/>
        <w:rPr>
          <w:sz w:val="24"/>
          <w:szCs w:val="24"/>
          <w:color w:val="auto"/>
        </w:rPr>
      </w:pPr>
    </w:p>
    <w:p>
      <w:pPr>
        <w:jc w:val="both"/>
        <w:ind w:firstLine="486"/>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5640" w:val="left"/>
          <w:tab w:leader="none" w:pos="64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9" w:lineRule="exact"/>
        <w:rPr>
          <w:sz w:val="24"/>
          <w:szCs w:val="24"/>
          <w:color w:val="auto"/>
        </w:rPr>
      </w:pPr>
    </w:p>
    <w:p>
      <w:pPr>
        <w:ind w:right="20" w:firstLine="486"/>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spacing w:after="0" w:line="207" w:lineRule="exact"/>
        <w:tabs>
          <w:tab w:leader="none" w:pos="9660" w:val="left"/>
          <w:tab w:leader="none" w:pos="104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1305" w:right="33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As of November 7, 2023, the registrant had 119,753,737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1080770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116205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142240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700"/>
          </w:cols>
          <w:pgMar w:left="820" w:top="125" w:right="1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01"/>
        </w:trPr>
        <w:tc>
          <w:tcPr>
            <w:tcW w:w="20" w:type="dxa"/>
            <w:vAlign w:val="bottom"/>
          </w:tcPr>
          <w:p>
            <w:pPr>
              <w:spacing w:after="0"/>
              <w:rPr>
                <w:sz w:val="17"/>
                <w:szCs w:val="17"/>
                <w:color w:val="auto"/>
              </w:rPr>
            </w:pPr>
          </w:p>
        </w:tc>
        <w:tc>
          <w:tcPr>
            <w:tcW w:w="15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PART I.</w:t>
            </w:r>
          </w:p>
        </w:tc>
        <w:tc>
          <w:tcPr>
            <w:tcW w:w="8640" w:type="dxa"/>
            <w:vAlign w:val="bottom"/>
            <w:gridSpan w:val="18"/>
          </w:tcPr>
          <w:p>
            <w:pPr>
              <w:spacing w:after="0" w:line="201" w:lineRule="exact"/>
              <w:rPr>
                <w:sz w:val="20"/>
                <w:szCs w:val="20"/>
                <w:color w:val="auto"/>
              </w:rPr>
            </w:pPr>
            <w:r>
              <w:rPr>
                <w:rFonts w:ascii="Arial" w:cs="Arial" w:eastAsia="Arial" w:hAnsi="Arial"/>
                <w:sz w:val="18"/>
                <w:szCs w:val="18"/>
                <w:color w:val="0000FF"/>
              </w:rPr>
              <w:t>Financial Information</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900" w:type="dxa"/>
            <w:vAlign w:val="bottom"/>
            <w:gridSpan w:val="5"/>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4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4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820" w:type="dxa"/>
            <w:vAlign w:val="bottom"/>
            <w:gridSpan w:val="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4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3180" w:type="dxa"/>
            <w:vAlign w:val="bottom"/>
            <w:gridSpan w:val="4"/>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8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960" w:type="dxa"/>
            <w:vAlign w:val="bottom"/>
            <w:gridSpan w:val="6"/>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2"/>
                <w:szCs w:val="22"/>
                <w:color w:val="auto"/>
              </w:rPr>
            </w:pPr>
          </w:p>
        </w:tc>
        <w:tc>
          <w:tcPr>
            <w:tcW w:w="6660" w:type="dxa"/>
            <w:vAlign w:val="bottom"/>
            <w:gridSpan w:val="11"/>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4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7160" w:type="dxa"/>
            <w:vAlign w:val="bottom"/>
            <w:gridSpan w:val="14"/>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9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Use of Proceeds, and Issuer Purchases of Equity Securities</w:t>
            </w: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6180" w:type="dxa"/>
            <w:vAlign w:val="bottom"/>
            <w:gridSpan w:val="10"/>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64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2"/>
                <w:szCs w:val="22"/>
                <w:color w:val="auto"/>
              </w:rPr>
            </w:pPr>
          </w:p>
        </w:tc>
        <w:tc>
          <w:tcPr>
            <w:tcW w:w="6720" w:type="dxa"/>
            <w:vAlign w:val="bottom"/>
            <w:gridSpan w:val="12"/>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4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27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200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204,450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280,744</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21,001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141,139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143,683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166,807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60"/>
              <w:spacing w:after="0" w:line="176" w:lineRule="exact"/>
              <w:rPr>
                <w:sz w:val="20"/>
                <w:szCs w:val="20"/>
                <w:color w:val="auto"/>
              </w:rPr>
            </w:pPr>
            <w:r>
              <w:rPr>
                <w:rFonts w:ascii="Arial" w:cs="Arial" w:eastAsia="Arial" w:hAnsi="Arial"/>
                <w:sz w:val="18"/>
                <w:szCs w:val="18"/>
                <w:color w:val="auto"/>
              </w:rPr>
              <w:t>Preferred stock, $0.01 par value; 10,000,000 shares authorized, none issued</w:t>
            </w: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180" w:type="dxa"/>
            <w:vAlign w:val="bottom"/>
          </w:tcPr>
          <w:p>
            <w:pPr>
              <w:spacing w:after="0"/>
              <w:rPr>
                <w:sz w:val="21"/>
                <w:szCs w:val="21"/>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$0.01 par value; 550,000,000 shares authorized, 128,198,185</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shares issued and 119,499,504 shares outstanding as of September 30, 2023</w:t>
            </w:r>
          </w:p>
        </w:tc>
        <w:tc>
          <w:tcPr>
            <w:tcW w:w="1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128,198,185 shares issued and 123,646,059 shares outstanding as of</w:t>
            </w: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2022</w:t>
            </w:r>
          </w:p>
        </w:tc>
        <w:tc>
          <w:tcPr>
            <w:tcW w:w="18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503,981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(215,819)</w:t>
            </w:r>
          </w:p>
        </w:tc>
        <w:tc>
          <w:tcPr>
            <w:tcW w:w="0" w:type="dxa"/>
            <w:vAlign w:val="bottom"/>
          </w:tcPr>
          <w:p>
            <w:pPr>
              <w:spacing w:after="0"/>
              <w:rPr>
                <w:sz w:val="1"/>
                <w:szCs w:val="1"/>
                <w:color w:val="auto"/>
              </w:rPr>
            </w:pPr>
          </w:p>
        </w:tc>
      </w:tr>
      <w:tr>
        <w:trPr>
          <w:trHeight w:val="176"/>
        </w:trPr>
        <w:tc>
          <w:tcPr>
            <w:tcW w:w="6740" w:type="dxa"/>
            <w:vAlign w:val="bottom"/>
          </w:tcPr>
          <w:p>
            <w:pPr>
              <w:ind w:left="360"/>
              <w:spacing w:after="0" w:line="176" w:lineRule="exact"/>
              <w:rPr>
                <w:sz w:val="20"/>
                <w:szCs w:val="20"/>
                <w:color w:val="auto"/>
              </w:rPr>
            </w:pPr>
            <w:r>
              <w:rPr>
                <w:rFonts w:ascii="Arial" w:cs="Arial" w:eastAsia="Arial" w:hAnsi="Arial"/>
                <w:sz w:val="18"/>
                <w:szCs w:val="18"/>
                <w:color w:val="auto"/>
              </w:rPr>
              <w:t>Treasury stock at cost, 8,698,681 shares at September 30, 2023 and 4,552,126</w:t>
            </w:r>
          </w:p>
        </w:tc>
        <w:tc>
          <w:tcPr>
            <w:tcW w:w="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at December 31, 2022</w:t>
            </w: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214,725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212,824</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383,380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379,631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p>
        </w:tc>
        <w:tc>
          <w:tcPr>
            <w:tcW w:w="322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316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300"/>
              <w:spacing w:after="0"/>
              <w:rPr>
                <w:sz w:val="20"/>
                <w:szCs w:val="20"/>
                <w:color w:val="auto"/>
              </w:rPr>
            </w:pPr>
            <w:r>
              <w:rPr>
                <w:rFonts w:ascii="Arial" w:cs="Arial" w:eastAsia="Arial" w:hAnsi="Arial"/>
                <w:sz w:val="18"/>
                <w:szCs w:val="18"/>
                <w:color w:val="auto"/>
              </w:rPr>
              <w:t>Profit share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26,523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44,433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83,990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 fees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137,701</w:t>
            </w: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30"/>
        </w:trPr>
        <w:tc>
          <w:tcPr>
            <w:tcW w:w="486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92,842</w:t>
            </w:r>
          </w:p>
        </w:tc>
        <w:tc>
          <w:tcPr>
            <w:tcW w:w="0" w:type="dxa"/>
            <w:vAlign w:val="bottom"/>
          </w:tcPr>
          <w:p>
            <w:pPr>
              <w:spacing w:after="0"/>
              <w:rPr>
                <w:sz w:val="1"/>
                <w:szCs w:val="1"/>
                <w:color w:val="auto"/>
              </w:rPr>
            </w:pPr>
          </w:p>
        </w:tc>
      </w:tr>
      <w:tr>
        <w:trPr>
          <w:trHeight w:val="229"/>
        </w:trPr>
        <w:tc>
          <w:tcPr>
            <w:tcW w:w="48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89,436</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120,217,857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126,228,723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121,318,872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126,222,084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121,298,880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126,228,723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122,065,718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126,222,415</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0"/>
        </w:trPr>
        <w:tc>
          <w:tcPr>
            <w:tcW w:w="31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14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499,625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(215,819)</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(4,552,126)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(72,264)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Restricted stock units issued, net of</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Shares repurchased, including excise tax</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(21,528)</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500,530</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(203,281)</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(7,606,312)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(92,982)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205,549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165"/>
        </w:trPr>
        <w:tc>
          <w:tcPr>
            <w:tcW w:w="3140" w:type="dxa"/>
            <w:vAlign w:val="bottom"/>
          </w:tcPr>
          <w:p>
            <w:pPr>
              <w:ind w:left="20"/>
              <w:spacing w:after="0" w:line="165" w:lineRule="exact"/>
              <w:rPr>
                <w:sz w:val="20"/>
                <w:szCs w:val="20"/>
                <w:color w:val="auto"/>
              </w:rPr>
            </w:pPr>
            <w:r>
              <w:rPr>
                <w:rFonts w:ascii="Arial" w:cs="Arial" w:eastAsia="Arial" w:hAnsi="Arial"/>
                <w:sz w:val="16"/>
                <w:szCs w:val="16"/>
                <w:color w:val="auto"/>
              </w:rPr>
              <w:t>Restricted stock units issued, net of</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104,283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26"/>
        </w:trPr>
        <w:tc>
          <w:tcPr>
            <w:tcW w:w="3140" w:type="dxa"/>
            <w:vAlign w:val="bottom"/>
            <w:vMerge w:val="restart"/>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11,371</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11,371</w:t>
            </w:r>
          </w:p>
        </w:tc>
      </w:tr>
      <w:tr>
        <w:trPr>
          <w:trHeight w:val="216"/>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501,374</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(191,910)</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(7,502,029)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(91,596)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219,150</w:t>
            </w:r>
          </w:p>
        </w:tc>
      </w:tr>
      <w:tr>
        <w:trPr>
          <w:trHeight w:val="20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2,684</w:t>
            </w: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-321310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580" w:space="560"/>
            <w:col w:w="808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 including excise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(1,201,593)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(10,107)</w:t>
            </w: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3,003</w:t>
            </w:r>
          </w:p>
        </w:tc>
        <w:tc>
          <w:tcPr>
            <w:tcW w:w="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3,003</w:t>
            </w:r>
          </w:p>
        </w:tc>
      </w:tr>
      <w:tr>
        <w:trPr>
          <w:trHeight w:val="23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503,981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(188,907)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(8,698,681)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214,725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 (continued)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right="40"/>
        <w:spacing w:after="0" w:line="295" w:lineRule="auto"/>
        <w:rPr>
          <w:sz w:val="20"/>
          <w:szCs w:val="20"/>
          <w:color w:val="auto"/>
        </w:rPr>
      </w:pPr>
      <w:r>
        <w:rPr>
          <w:rFonts w:ascii="Arial" w:cs="Arial" w:eastAsia="Arial" w:hAnsi="Arial"/>
          <w:sz w:val="16"/>
          <w:szCs w:val="16"/>
          <w:b w:val="1"/>
          <w:bCs w:val="1"/>
          <w:color w:val="auto"/>
        </w:rPr>
        <w:t xml:space="preserve">Balance as of December 31, 2021 </w:t>
      </w:r>
      <w:r>
        <w:rPr>
          <w:rFonts w:ascii="Arial" w:cs="Arial" w:eastAsia="Arial" w:hAnsi="Arial"/>
          <w:sz w:val="16"/>
          <w:szCs w:val="16"/>
          <w:color w:val="auto"/>
        </w:rPr>
        <w:t>Share-based compensation</w:t>
      </w:r>
    </w:p>
    <w:p>
      <w:pPr>
        <w:spacing w:after="0" w:line="1" w:lineRule="exact"/>
        <w:rPr>
          <w:sz w:val="20"/>
          <w:szCs w:val="20"/>
          <w:color w:val="auto"/>
        </w:rPr>
      </w:pPr>
    </w:p>
    <w:p>
      <w:pPr>
        <w:ind w:left="20" w:right="4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March 31, 2022</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32" w:lineRule="exact"/>
        <w:rPr>
          <w:sz w:val="20"/>
          <w:szCs w:val="20"/>
          <w:color w:val="auto"/>
        </w:rPr>
      </w:pPr>
    </w:p>
    <w:p>
      <w:pPr>
        <w:ind w:left="20" w:right="4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June 30, 2022</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32" w:lineRule="exact"/>
        <w:rPr>
          <w:sz w:val="20"/>
          <w:szCs w:val="20"/>
          <w:color w:val="auto"/>
        </w:rPr>
      </w:pPr>
    </w:p>
    <w:p>
      <w:pPr>
        <w:ind w:left="20" w:right="40"/>
        <w:spacing w:after="0"/>
        <w:rPr>
          <w:sz w:val="20"/>
          <w:szCs w:val="20"/>
          <w:color w:val="auto"/>
        </w:rPr>
      </w:pPr>
      <w:r>
        <w:rPr>
          <w:rFonts w:ascii="Arial" w:cs="Arial" w:eastAsia="Arial" w:hAnsi="Arial"/>
          <w:sz w:val="16"/>
          <w:szCs w:val="16"/>
          <w:color w:val="auto"/>
        </w:rPr>
        <w:t>Restricted stock units issued, net of shares withheld for taxes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Capital</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0"/>
        </w:trPr>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color w:val="auto"/>
              </w:rPr>
              <w:t>Amount</w:t>
            </w:r>
          </w:p>
        </w:tc>
        <w:tc>
          <w:tcPr>
            <w:tcW w:w="106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496,983</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(282,439)</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(1,985,309)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(56,844)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158,982</w:t>
            </w:r>
          </w:p>
        </w:tc>
        <w:tc>
          <w:tcPr>
            <w:tcW w:w="0" w:type="dxa"/>
            <w:vAlign w:val="bottom"/>
          </w:tcPr>
          <w:p>
            <w:pPr>
              <w:spacing w:after="0"/>
              <w:rPr>
                <w:sz w:val="1"/>
                <w:szCs w:val="1"/>
                <w:color w:val="auto"/>
              </w:rPr>
            </w:pPr>
          </w:p>
        </w:tc>
      </w:tr>
      <w:tr>
        <w:trPr>
          <w:trHeight w:val="20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0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23,154</w:t>
            </w: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23,154</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498,057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(259,285)</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(1,980,230)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(56,676)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183,378</w:t>
            </w:r>
          </w:p>
        </w:tc>
        <w:tc>
          <w:tcPr>
            <w:tcW w:w="0" w:type="dxa"/>
            <w:vAlign w:val="bottom"/>
          </w:tcPr>
          <w:p>
            <w:pPr>
              <w:spacing w:after="0"/>
              <w:rPr>
                <w:sz w:val="1"/>
                <w:szCs w:val="1"/>
                <w:color w:val="auto"/>
              </w:rPr>
            </w:pPr>
          </w:p>
        </w:tc>
      </w:tr>
      <w:tr>
        <w:trPr>
          <w:trHeight w:val="20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0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23,126</w:t>
            </w: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498,745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(236,159)</w:t>
            </w: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(1,972,635)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(56,400)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207,468</w:t>
            </w:r>
          </w:p>
        </w:tc>
        <w:tc>
          <w:tcPr>
            <w:tcW w:w="0" w:type="dxa"/>
            <w:vAlign w:val="bottom"/>
          </w:tcPr>
          <w:p>
            <w:pPr>
              <w:spacing w:after="0"/>
              <w:rPr>
                <w:sz w:val="1"/>
                <w:szCs w:val="1"/>
                <w:color w:val="auto"/>
              </w:rPr>
            </w:pPr>
          </w:p>
        </w:tc>
      </w:tr>
      <w:tr>
        <w:trPr>
          <w:trHeight w:val="20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00"/>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24,529</w:t>
            </w:r>
          </w:p>
        </w:tc>
        <w:tc>
          <w:tcPr>
            <w:tcW w:w="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24,529</w:t>
            </w:r>
          </w:p>
        </w:tc>
        <w:tc>
          <w:tcPr>
            <w:tcW w:w="0" w:type="dxa"/>
            <w:vAlign w:val="bottom"/>
          </w:tcPr>
          <w:p>
            <w:pPr>
              <w:spacing w:after="0"/>
              <w:rPr>
                <w:sz w:val="1"/>
                <w:szCs w:val="1"/>
                <w:color w:val="auto"/>
              </w:rPr>
            </w:pPr>
          </w:p>
        </w:tc>
      </w:tr>
      <w:tr>
        <w:trPr>
          <w:trHeight w:val="213"/>
        </w:trPr>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499,843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(211,630)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(1,967,423)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(56,221)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233,274</w:t>
            </w: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-2159635</wp:posOffset>
            </wp:positionV>
            <wp:extent cx="71151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-1876425</wp:posOffset>
            </wp:positionV>
            <wp:extent cx="7115175"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-1499870</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-1216660</wp:posOffset>
            </wp:positionV>
            <wp:extent cx="71151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-839470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-556895</wp:posOffset>
            </wp:positionV>
            <wp:extent cx="7115175"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-179705</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2620" w:space="520"/>
            <w:col w:w="8080"/>
          </w:cols>
          <w:pgMar w:left="320" w:top="125"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Pr>
          <w:p>
            <w:pPr>
              <w:spacing w:after="0"/>
              <w:rPr>
                <w:sz w:val="19"/>
                <w:szCs w:val="19"/>
                <w:color w:val="auto"/>
              </w:rPr>
            </w:pPr>
          </w:p>
        </w:tc>
        <w:tc>
          <w:tcPr>
            <w:tcW w:w="366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26,912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70,809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40"/>
        </w:trPr>
        <w:tc>
          <w:tcPr>
            <w:tcW w:w="758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(7,860)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26,199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13,016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Income tax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65,903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84,997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Proceeds from term loans</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term loans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(122,656)</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Payments on revolving facility</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deferred financing cost</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85,647</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the beginning of the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119,509</w:t>
            </w:r>
          </w:p>
        </w:tc>
        <w:tc>
          <w:tcPr>
            <w:tcW w:w="0" w:type="dxa"/>
            <w:vAlign w:val="bottom"/>
          </w:tcPr>
          <w:p>
            <w:pPr>
              <w:spacing w:after="0"/>
              <w:rPr>
                <w:sz w:val="1"/>
                <w:szCs w:val="1"/>
                <w:color w:val="auto"/>
              </w:rPr>
            </w:pPr>
          </w:p>
        </w:tc>
      </w:tr>
      <w:tr>
        <w:trPr>
          <w:trHeight w:val="23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238,411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205,156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Income tax paid, net</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9,008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27,471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Property and equipment accrued but not paid</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for capitalized software development</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Capitalized software development costs accrued but not paid</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excise tax associated with share repurchases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flagship product, Lenders Protection Platform (“LPP”), is a cloud-based automotive lending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generates a risk-based, all-inclusive interest rate for a loan that is customized to each automotive lender, reflecting cost of capital, loan servicing and acquisition costs, expected recovery rates and target return on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completed a business combination pursuant to that certain Business Combination Agreement by and among Nebula, Open Lending, LLC, BRP Hold 11, Inc. (the “Blocker”), the Blocker’s sole stockholder, Nebula Parent Corp., NBLA Merger Sub LLC, NBLA Merger Sub Corp. and Shareholder Representative Services LLC, as the security holder representative, each as defined in the Business Combination Agreement (the “Business Combination”).</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refer to Open Lending, LLC and Nebula Acquisition Corporation, respectively, prior to the Closing Date.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2022 (the “Annual Report”).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and nine months ended September 30, 2023 are not necessarily indicative of the Company’s operating results for the entire fiscal year ending December 31,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largest insurance carrier partners accounted for 29% and 10% of the Company’s total revenue during the three months ended September 30, 2023, and 32% and 11% during the nine months ended September 30, 2023. The Company’s largest insurance carrier partners accounted for 36% and 12% of the Company's total revenue during the three months ended September 30, 2022 and 37%, 11% and 11% during the nine months ended September 30, 2022.</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largest lender customer accounted for 10% of the Company’s total revenue during the three months ended September 30, 2023. There were no lender customers who accounted for 10% or more of the Company’s total revenue during the nine months ended September 30, 2023 or during the three and nine months ended September 30, 2022.</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designated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approximately $0.1 million at September 30, 2023 and December 31, 2022.</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2023 and December 31, 2022, the Company had one customer that individually accounted for 15% and 12%, respectively, of the Company’s accounts receivable, net.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carriers. The forecast model projects loan-level earned premiums and insurance claim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align the default and prepayment rate projections with actual experience.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there may be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and nine months ended September 30, 2023, contract asset adjustments attributable to profit share revenue forecast adjustments resulted in decreases of $8.1 million and $8.5 million, respectively, as compared to increases of $1.7 million and $7.1 million, respectively, during the three and nine months ended September 30, 2022.</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148" w:lineRule="exact"/>
        <w:rPr>
          <w:sz w:val="20"/>
          <w:szCs w:val="20"/>
          <w:color w:val="auto"/>
        </w:rPr>
      </w:pPr>
    </w:p>
    <w:p>
      <w:pPr>
        <w:jc w:val="right"/>
        <w:ind w:right="2400"/>
        <w:spacing w:after="0"/>
        <w:rPr>
          <w:sz w:val="20"/>
          <w:szCs w:val="20"/>
          <w:color w:val="auto"/>
        </w:rPr>
      </w:pPr>
      <w:r>
        <w:rPr>
          <w:rFonts w:ascii="Arial" w:cs="Arial" w:eastAsia="Arial" w:hAnsi="Arial"/>
          <w:sz w:val="18"/>
          <w:szCs w:val="18"/>
          <w:b w:val="1"/>
          <w:bCs w:val="1"/>
          <w:color w:val="auto"/>
        </w:rPr>
        <w:t>Contract Assets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June 30, 2023</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of contract asset due to new business generation</w:t>
      </w:r>
    </w:p>
    <w:p>
      <w:pPr>
        <w:spacing w:after="0" w:line="11" w:lineRule="exact"/>
        <w:rPr>
          <w:sz w:val="20"/>
          <w:szCs w:val="20"/>
          <w:color w:val="auto"/>
        </w:rPr>
      </w:pPr>
    </w:p>
    <w:p>
      <w:pPr>
        <w:ind w:left="20" w:right="240"/>
        <w:spacing w:after="0" w:line="256" w:lineRule="auto"/>
        <w:rPr>
          <w:sz w:val="20"/>
          <w:szCs w:val="20"/>
          <w:color w:val="auto"/>
        </w:rPr>
      </w:pPr>
      <w:r>
        <w:rPr>
          <w:rFonts w:ascii="Arial" w:cs="Arial" w:eastAsia="Arial" w:hAnsi="Arial"/>
          <w:sz w:val="17"/>
          <w:szCs w:val="17"/>
          <w:color w:val="auto"/>
        </w:rPr>
        <w:t>Adjustment of contract asset due to estimation of revenue from performance obligations satisfied in previous periods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5" w:lineRule="exact"/>
        <w:rPr>
          <w:sz w:val="20"/>
          <w:szCs w:val="20"/>
          <w:color w:val="auto"/>
        </w:rPr>
      </w:pPr>
    </w:p>
    <w:p>
      <w:pPr>
        <w:ind w:left="20" w:right="1420"/>
        <w:spacing w:after="0" w:line="300" w:lineRule="auto"/>
        <w:rPr>
          <w:sz w:val="20"/>
          <w:szCs w:val="20"/>
          <w:color w:val="auto"/>
        </w:rPr>
      </w:pPr>
      <w:r>
        <w:rPr>
          <w:rFonts w:ascii="Arial" w:cs="Arial" w:eastAsia="Arial" w:hAnsi="Arial"/>
          <w:sz w:val="17"/>
          <w:szCs w:val="17"/>
          <w:color w:val="auto"/>
        </w:rPr>
        <w:t>Payments received from insurance carriers Provision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December 31, 2022</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 of contract assets due to new business generation</w:t>
      </w:r>
    </w:p>
    <w:p>
      <w:pPr>
        <w:spacing w:after="0" w:line="11" w:lineRule="exact"/>
        <w:rPr>
          <w:sz w:val="20"/>
          <w:szCs w:val="20"/>
          <w:color w:val="auto"/>
        </w:rPr>
      </w:pPr>
    </w:p>
    <w:p>
      <w:pPr>
        <w:ind w:left="20" w:right="160"/>
        <w:spacing w:after="0" w:line="256" w:lineRule="auto"/>
        <w:rPr>
          <w:sz w:val="20"/>
          <w:szCs w:val="20"/>
          <w:color w:val="auto"/>
        </w:rPr>
      </w:pPr>
      <w:r>
        <w:rPr>
          <w:rFonts w:ascii="Arial" w:cs="Arial" w:eastAsia="Arial" w:hAnsi="Arial"/>
          <w:sz w:val="17"/>
          <w:szCs w:val="17"/>
          <w:color w:val="auto"/>
        </w:rPr>
        <w:t>Adjustment of contract assets due to estimation of revenue from performance obligations satisfied in previous periods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5" w:lineRule="exact"/>
        <w:rPr>
          <w:sz w:val="20"/>
          <w:szCs w:val="20"/>
          <w:color w:val="auto"/>
        </w:rPr>
      </w:pPr>
    </w:p>
    <w:p>
      <w:pPr>
        <w:ind w:left="20" w:right="1420"/>
        <w:spacing w:after="0" w:line="300" w:lineRule="auto"/>
        <w:rPr>
          <w:sz w:val="20"/>
          <w:szCs w:val="20"/>
          <w:color w:val="auto"/>
        </w:rPr>
      </w:pPr>
      <w:r>
        <w:rPr>
          <w:rFonts w:ascii="Arial" w:cs="Arial" w:eastAsia="Arial" w:hAnsi="Arial"/>
          <w:sz w:val="17"/>
          <w:szCs w:val="17"/>
          <w:color w:val="auto"/>
        </w:rPr>
        <w:t>Payments received from insurance carriers Provision for expected credit losses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Ending balance as of September 30, 2023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3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rPr>
              <w:t>Claims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ind w:left="88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50,930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6,927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59,655</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34,063</w:t>
            </w: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419"/>
        </w:trPr>
        <w:tc>
          <w:tcPr>
            <w:tcW w:w="2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(16,484)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(16,484)</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(19,940)</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-1448435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-1156970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-745490</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-334010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3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right="480"/>
              <w:spacing w:after="0" w:line="169" w:lineRule="exact"/>
              <w:rPr>
                <w:sz w:val="20"/>
                <w:szCs w:val="20"/>
                <w:color w:val="auto"/>
              </w:rPr>
            </w:pPr>
            <w:r>
              <w:rPr>
                <w:rFonts w:ascii="Arial" w:cs="Arial" w:eastAsia="Arial" w:hAnsi="Arial"/>
                <w:sz w:val="18"/>
                <w:szCs w:val="18"/>
                <w:b w:val="1"/>
                <w:bCs w:val="1"/>
                <w:color w:val="auto"/>
              </w:rPr>
              <w:t>Claims</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5"/>
          </w:tcPr>
          <w:p>
            <w:pPr>
              <w:ind w:left="88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65,889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7,932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1,609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75,430</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111,038</w:t>
            </w: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418"/>
        </w:trPr>
        <w:tc>
          <w:tcPr>
            <w:tcW w:w="2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(52,684)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(52,684)</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(76,051)</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-1447800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-1156970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-744855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-333375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4860" w:space="220"/>
            <w:col w:w="6160"/>
          </w:cols>
          <w:pgMar w:left="320" w:top="126"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the Company’s contract assets consisted of $37.9 million and $54.4 million, respectively, as the portion estimated to be received within one year and $11.4 million and $21.0 million, respectively, as the non-current portion to be received beyond one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60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312"/>
        </w:trPr>
        <w:tc>
          <w:tcPr>
            <w:tcW w:w="8980" w:type="dxa"/>
            <w:vAlign w:val="bottom"/>
            <w:gridSpan w:val="4"/>
          </w:tcPr>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66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2022</w:t>
            </w: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jc w:val="right"/>
              <w:ind w:right="1710"/>
              <w:spacing w:after="0"/>
              <w:rPr>
                <w:sz w:val="20"/>
                <w:szCs w:val="20"/>
                <w:color w:val="auto"/>
              </w:rPr>
            </w:pPr>
            <w:r>
              <w:rPr>
                <w:rFonts w:ascii="Arial" w:cs="Arial" w:eastAsia="Arial" w:hAnsi="Arial"/>
                <w:sz w:val="16"/>
                <w:szCs w:val="16"/>
                <w:i w:val="1"/>
                <w:iCs w:val="1"/>
                <w:color w:val="auto"/>
              </w:rPr>
              <w:t>(in thousands)</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146,250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149,063</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147,433</w:t>
            </w:r>
          </w:p>
        </w:tc>
      </w:tr>
      <w:tr>
        <w:trPr>
          <w:trHeight w:val="27"/>
        </w:trPr>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debt</w:t>
            </w:r>
          </w:p>
        </w:tc>
        <w:tc>
          <w:tcPr>
            <w:tcW w:w="2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141,139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143,683</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9, 2022, the Company entered into a First Amendment to its existing Credit Agreement (the “First Amendment”) with Wells Fargo Bank, N.A., as the administrative agent, and the financial institutions party thereto, as the lenders. The First Amendment provided the Company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0.150%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the Credit Agreement was subject to an Adjusted SOFR rate of 5.472% plus a spread of 1.625% per annum. Commitment fees were accrued at 0.150% under the Revolving Credit Facility’s unused commitment balance of $150.0 million as of September 30, 2023. As of September 30, 2023, the effective interest rate on the Company’s outstanding borrowings was 7.343%.</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$1.4 million and $0.3 million, respectively, as of September 30, 2023.</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3.5:1 for any fiscal quarter ending on or prior to June 30, 2024 and then decreases to 3.0:1 for any fiscal quarter ending after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June 30, 2024. The minimum fixed charge coverage ratio is 1.25:1. As of September 30, 2023, the Company was in compliance with all required covenants under the Credit Agreement.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nine months ended September 30, 2023, the Company recognized income tax expense of $1.5 million and $9.9 million, respectively, resulting in effective tax rates of 33.8% and 26.9%, respectively. During the three and nine months ended September 30, 2022, the Company recognized income tax expense of $1.7 million and $18.6 million, respectively, resulting in effective tax rates of 6.6% and 20.8%, respectively. The Company’s income tax expense for the three and nine months ended September 30, 2023 and September 30, 2022 differs from amounts computed by applying the U.S. federal statutory tax rate of 21% primarily due to state income tax expenses, the officer’s compensation limitation under Section 162(m) and a discrete tax benefit of $5.1 million from a change in state tax law during the third quarter of 2022, which included a tax benefit associated with the remeasurement of the Company’s deferred tax assets offset by a higher current state income tax. The increase in effective tax rates for the three and nine months ended September 30, 2023 compared to the same period in 2022 is primarily due to decreased income before income taxes combined with the recognition of a discrete tax benefit associated with the enactment of state tax legislation with a retroactive effective date during the three months ended September 30, 2022.</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September 30, 2023.</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2023, the Company changed its policy to recognize interest and penalties related to income taxes as a component of income tax expense to better align the classification with the substance of the associated transactions. This accounting policy change has no impact to net income or basic and diluted earnings per share, or to the unaudited Condensed Consolidated Statements of Operations, for any previous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nine months ended September 30, 2023 and 2022 include unvested and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nine months ended September 30, 2023 and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3"/>
                <w:szCs w:val="23"/>
                <w:color w:val="auto"/>
              </w:rPr>
            </w:pPr>
          </w:p>
        </w:tc>
        <w:tc>
          <w:tcPr>
            <w:tcW w:w="31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560" w:type="dxa"/>
            <w:vAlign w:val="bottom"/>
            <w:gridSpan w:val="8"/>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 except shares and per share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gridSpan w:val="3"/>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3,003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24,529</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26,912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70,809</w:t>
            </w: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54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120,217,857</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126,228,723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121,318,872</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126,222,084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59"/>
        </w:trPr>
        <w:tc>
          <w:tcPr>
            <w:tcW w:w="20" w:type="dxa"/>
            <w:vAlign w:val="bottom"/>
            <w:shd w:val="clear" w:color="auto" w:fill="CCEEFF"/>
          </w:tcPr>
          <w:p>
            <w:pPr>
              <w:spacing w:after="0"/>
              <w:rPr>
                <w:sz w:val="22"/>
                <w:szCs w:val="22"/>
                <w:color w:val="auto"/>
              </w:rPr>
            </w:pPr>
          </w:p>
        </w:tc>
        <w:tc>
          <w:tcPr>
            <w:tcW w:w="45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vMerge w:val="continue"/>
            <w:shd w:val="clear" w:color="auto" w:fill="CCEEFF"/>
          </w:tcPr>
          <w:p>
            <w:pPr>
              <w:spacing w:after="0"/>
              <w:rPr>
                <w:sz w:val="22"/>
                <w:szCs w:val="22"/>
                <w:color w:val="auto"/>
              </w:rPr>
            </w:pPr>
          </w:p>
        </w:tc>
        <w:tc>
          <w:tcPr>
            <w:tcW w:w="1260" w:type="dxa"/>
            <w:vAlign w:val="bottom"/>
            <w:vMerge w:val="continue"/>
            <w:shd w:val="clear" w:color="auto" w:fill="CCEEFF"/>
          </w:tcPr>
          <w:p>
            <w:pPr>
              <w:spacing w:after="0"/>
              <w:rPr>
                <w:sz w:val="22"/>
                <w:szCs w:val="22"/>
                <w:color w:val="auto"/>
              </w:rPr>
            </w:pPr>
          </w:p>
        </w:tc>
        <w:tc>
          <w:tcPr>
            <w:tcW w:w="440" w:type="dxa"/>
            <w:vAlign w:val="bottom"/>
            <w:gridSpan w:val="2"/>
            <w:vMerge w:val="continue"/>
            <w:shd w:val="clear" w:color="auto" w:fill="CCEEFF"/>
          </w:tcPr>
          <w:p>
            <w:pPr>
              <w:spacing w:after="0"/>
              <w:rPr>
                <w:sz w:val="22"/>
                <w:szCs w:val="22"/>
                <w:color w:val="auto"/>
              </w:rPr>
            </w:pPr>
          </w:p>
        </w:tc>
        <w:tc>
          <w:tcPr>
            <w:tcW w:w="126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42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vMerge w:val="continue"/>
            <w:shd w:val="clear" w:color="auto" w:fill="CCEEFF"/>
          </w:tcPr>
          <w:p>
            <w:pPr>
              <w:spacing w:after="0"/>
              <w:rPr>
                <w:sz w:val="22"/>
                <w:szCs w:val="22"/>
                <w:color w:val="auto"/>
              </w:rPr>
            </w:pPr>
          </w:p>
        </w:tc>
        <w:tc>
          <w:tcPr>
            <w:tcW w:w="12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Diluted net income per share:</w:t>
            </w:r>
          </w:p>
        </w:tc>
        <w:tc>
          <w:tcPr>
            <w:tcW w:w="2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45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24,529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5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5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120,217,857</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126,228,723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121,318,872</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126,222,084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ind w:left="500"/>
              <w:spacing w:after="0"/>
              <w:rPr>
                <w:sz w:val="20"/>
                <w:szCs w:val="20"/>
                <w:color w:val="auto"/>
              </w:rPr>
            </w:pPr>
            <w:r>
              <w:rPr>
                <w:rFonts w:ascii="Arial" w:cs="Arial" w:eastAsia="Arial" w:hAnsi="Arial"/>
                <w:sz w:val="18"/>
                <w:szCs w:val="18"/>
                <w:color w:val="auto"/>
              </w:rPr>
              <w:t>Dilutive effect of time-based restricted stock units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gridSpan w:val="3"/>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1,081,023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746,846</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122,065,718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126,222,415</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5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121,298,880</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126,228,723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gridSpan w:val="3"/>
          </w:tcPr>
          <w:p>
            <w:pPr>
              <w:ind w:left="160"/>
              <w:spacing w:after="0" w:line="201" w:lineRule="exact"/>
              <w:rPr>
                <w:sz w:val="20"/>
                <w:szCs w:val="20"/>
                <w:color w:val="auto"/>
              </w:rPr>
            </w:pPr>
            <w:r>
              <w:rPr>
                <w:rFonts w:ascii="Arial" w:cs="Arial" w:eastAsia="Arial" w:hAnsi="Arial"/>
                <w:sz w:val="18"/>
                <w:szCs w:val="18"/>
                <w:b w:val="1"/>
                <w:bCs w:val="1"/>
                <w:color w:val="auto"/>
              </w:rPr>
              <w:t>Diluted net income per share attributable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40" w:type="dxa"/>
            <w:vAlign w:val="bottom"/>
            <w:gridSpan w:val="3"/>
          </w:tcPr>
          <w:p>
            <w:pPr>
              <w:ind w:left="160"/>
              <w:spacing w:after="0"/>
              <w:rPr>
                <w:sz w:val="20"/>
                <w:szCs w:val="20"/>
                <w:color w:val="auto"/>
              </w:rPr>
            </w:pPr>
            <w:r>
              <w:rPr>
                <w:rFonts w:ascii="Arial" w:cs="Arial" w:eastAsia="Arial" w:hAnsi="Arial"/>
                <w:sz w:val="18"/>
                <w:szCs w:val="18"/>
                <w:b w:val="1"/>
                <w:bCs w:val="1"/>
                <w:color w:val="auto"/>
              </w:rPr>
              <w:t>common stockholders</w:t>
            </w:r>
          </w:p>
        </w:tc>
        <w:tc>
          <w:tcPr>
            <w:tcW w:w="3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September 30, 2023 and 2022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w:t>
            </w:r>
          </w:p>
        </w:tc>
        <w:tc>
          <w:tcPr>
            <w:tcW w:w="30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290"/>
              <w:spacing w:after="0"/>
              <w:rPr>
                <w:sz w:val="20"/>
                <w:szCs w:val="20"/>
                <w:color w:val="auto"/>
              </w:rPr>
            </w:pPr>
            <w:r>
              <w:rPr>
                <w:rFonts w:ascii="Arial" w:cs="Arial" w:eastAsia="Arial" w:hAnsi="Arial"/>
                <w:sz w:val="18"/>
                <w:szCs w:val="18"/>
                <w:b w:val="1"/>
                <w:bCs w:val="1"/>
                <w:color w:val="auto"/>
                <w:w w:val="95"/>
              </w:rPr>
              <w:t>30,</w:t>
            </w:r>
          </w:p>
        </w:tc>
        <w:tc>
          <w:tcPr>
            <w:tcW w:w="80" w:type="dxa"/>
            <w:vAlign w:val="bottom"/>
          </w:tcPr>
          <w:p>
            <w:pPr>
              <w:spacing w:after="0"/>
              <w:rPr>
                <w:sz w:val="20"/>
                <w:szCs w:val="20"/>
                <w:color w:val="auto"/>
              </w:rPr>
            </w:pPr>
          </w:p>
        </w:tc>
        <w:tc>
          <w:tcPr>
            <w:tcW w:w="30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182,233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182,233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277,037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562,071</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277,037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562,071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234,077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848,367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978,381</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848,367</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978,381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22"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ind w:left="1140" w:hanging="484"/>
        <w:spacing w:after="0" w:line="263"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 are subject to fair value adjustments whenever events or circumstances indicate the carrying value of the assets may not be recoverable and are subsequently written down to fair value when impaired. During the three and nine months ended September 30, 2023 and 2022, the Company had no impairment charges related to its property and equipment or operating lease right-of-use asset.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720" w:type="dxa"/>
            <w:vAlign w:val="bottom"/>
            <w:gridSpan w:val="12"/>
          </w:tcPr>
          <w:p>
            <w:pPr>
              <w:jc w:val="center"/>
              <w:ind w:right="180"/>
              <w:spacing w:after="0"/>
              <w:rPr>
                <w:sz w:val="20"/>
                <w:szCs w:val="20"/>
                <w:color w:val="auto"/>
              </w:rPr>
            </w:pPr>
            <w:r>
              <w:rPr>
                <w:rFonts w:ascii="Arial" w:cs="Arial" w:eastAsia="Arial" w:hAnsi="Arial"/>
                <w:sz w:val="18"/>
                <w:szCs w:val="18"/>
                <w:b w:val="1"/>
                <w:bCs w:val="1"/>
                <w:color w:val="auto"/>
                <w:w w:val="99"/>
              </w:rPr>
              <w:t>Fair value measurement as of September 30, 2023</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jc w:val="center"/>
              <w:ind w:left="131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9,893</w:t>
            </w:r>
          </w:p>
        </w:tc>
        <w:tc>
          <w:tcPr>
            <w:tcW w:w="20" w:type="dxa"/>
            <w:vAlign w:val="bottom"/>
          </w:tcPr>
          <w:p>
            <w:pPr>
              <w:spacing w:after="0"/>
              <w:rPr>
                <w:sz w:val="19"/>
                <w:szCs w:val="19"/>
                <w:color w:val="auto"/>
              </w:rPr>
            </w:pPr>
          </w:p>
        </w:tc>
        <w:tc>
          <w:tcPr>
            <w:tcW w:w="70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208,982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208,982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20" w:type="dxa"/>
            <w:vAlign w:val="bottom"/>
            <w:gridSpan w:val="12"/>
          </w:tcPr>
          <w:p>
            <w:pPr>
              <w:jc w:val="center"/>
              <w:ind w:right="160"/>
              <w:spacing w:after="0"/>
              <w:rPr>
                <w:sz w:val="20"/>
                <w:szCs w:val="20"/>
                <w:color w:val="auto"/>
              </w:rPr>
            </w:pPr>
            <w:r>
              <w:rPr>
                <w:rFonts w:ascii="Arial" w:cs="Arial" w:eastAsia="Arial" w:hAnsi="Arial"/>
                <w:sz w:val="18"/>
                <w:szCs w:val="18"/>
                <w:b w:val="1"/>
                <w:bCs w:val="1"/>
                <w:color w:val="auto"/>
                <w:w w:val="99"/>
              </w:rPr>
              <w:t>Fair value measurement as of December 31, 2022</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5"/>
          </w:tcPr>
          <w:p>
            <w:pPr>
              <w:jc w:val="center"/>
              <w:ind w:left="1331"/>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35,915</w:t>
            </w:r>
          </w:p>
        </w:tc>
        <w:tc>
          <w:tcPr>
            <w:tcW w:w="20" w:type="dxa"/>
            <w:vAlign w:val="bottom"/>
          </w:tcPr>
          <w:p>
            <w:pPr>
              <w:spacing w:after="0"/>
              <w:rPr>
                <w:sz w:val="19"/>
                <w:szCs w:val="19"/>
                <w:color w:val="auto"/>
              </w:rPr>
            </w:pPr>
          </w:p>
        </w:tc>
        <w:tc>
          <w:tcPr>
            <w:tcW w:w="700" w:type="dxa"/>
            <w:vAlign w:val="bottom"/>
            <w:gridSpan w:val="3"/>
          </w:tcPr>
          <w:p>
            <w:pPr>
              <w:jc w:val="center"/>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451"/>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144,889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147,433</w:t>
            </w: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147,433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September 30, 2023 and December 31, 2022 plus an applicable spread, a Level 2 classification in the fair value hierarchy.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September 30, 2023 and December 31, 2022.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5"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proceedings that may be instituted in connection with the Business Combination and transactions contemplated thereby;</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5"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associated with our growth as a result of demands on our operational, marketing, compliance and accounting infrastructure;</w:t>
      </w:r>
    </w:p>
    <w:p>
      <w:pPr>
        <w:spacing w:after="0" w:line="65" w:lineRule="exact"/>
        <w:rPr>
          <w:rFonts w:ascii="Arial" w:cs="Arial" w:eastAsia="Arial" w:hAnsi="Arial"/>
          <w:sz w:val="18"/>
          <w:szCs w:val="18"/>
          <w:color w:val="auto"/>
        </w:rPr>
      </w:pPr>
    </w:p>
    <w:p>
      <w:pPr>
        <w:ind w:left="1140" w:right="2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65" w:lineRule="exact"/>
        <w:rPr>
          <w:rFonts w:ascii="Arial" w:cs="Arial" w:eastAsia="Arial" w:hAnsi="Arial"/>
          <w:sz w:val="18"/>
          <w:szCs w:val="18"/>
          <w:color w:val="auto"/>
        </w:rPr>
      </w:pPr>
    </w:p>
    <w:p>
      <w:pPr>
        <w:ind w:left="1140" w:hanging="484"/>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line="275"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 $21.1 billion in automotive loans, accumulated more than 20 years of proprietary data and developed over two million unique risk profiles. We currently serve 463 active lenders.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flagship product, LPP, is a cloud-based automotive lending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parties in our ecosystem.</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2% of this market, providing a significant growth opportunity. In addition, our market opportunity related to the refinancing of near-prime and non-prime automotive loans is estimated at $40 billion annually.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facilitate certified loans and have achieved financial success by targeting the financing needs of near-prime and non-prime borrowers who are underserved in the automotive finance industry.</w:t>
      </w:r>
    </w:p>
    <w:p>
      <w:pPr>
        <w:spacing w:after="0" w:line="6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facilitated 29,959 and 96,721 certified loans during the three and nine months ended September 30, 2023, as compared to 42,186 and 130,661 certified loans during the three and nine months ended September 30, 2022.</w:t>
      </w:r>
    </w:p>
    <w:p>
      <w:pPr>
        <w:spacing w:after="0" w:line="6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Total revenue was $26.0 million and $102.5 million for the three and nine months ended September 30, 2023, as compared to $50.7 million and $152.8 million during the three and nine months ended September 30, 2022.</w:t>
      </w:r>
    </w:p>
    <w:p>
      <w:pPr>
        <w:spacing w:after="0" w:line="6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Operating income was $4.5 million and $37.4 million for the three and nine months ended September 30, 2023, as compared to $27.8 million and $92.8 million in the three and nine months ended September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income was $3.0 million and $26.9 million for the three and nine months ended September 30, 2023, as compared to net income of $24.5 million and $70.8 million for the three and nine months ended September 30, 2022.</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Adjusted EBITDA was $ 10.3 million and $52.3 million for the three and nine months ended September 30, 2023, as compared to $29.4 million and $97.2 million during the three and nine months ended September 30, 2022.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and nine months ended September 30, 2023 and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Pr>
          <w:p>
            <w:pPr>
              <w:spacing w:after="0"/>
              <w:rPr>
                <w:sz w:val="20"/>
                <w:szCs w:val="20"/>
                <w:color w:val="auto"/>
              </w:rPr>
            </w:pPr>
          </w:p>
        </w:tc>
        <w:tc>
          <w:tcPr>
            <w:tcW w:w="32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31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8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130,661</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883,470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1,246,250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2,850,133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3,722,270</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28,488</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“active lenders” as lenders who certify at least one loan during the preceding 12 months. As of September 30, 2023 and 2022, we had 463 and 430 active lenders, respectively. The table below represents lender count information for lenders with certified loan activity during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p>
        </w:tc>
        <w:tc>
          <w:tcPr>
            <w:tcW w:w="33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Lenders certifying loans at beginning of period</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56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4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17" w:lineRule="exact"/>
        <w:rPr>
          <w:rFonts w:ascii="Arial" w:cs="Arial" w:eastAsia="Arial" w:hAnsi="Arial"/>
          <w:sz w:val="16"/>
          <w:szCs w:val="16"/>
          <w:color w:val="auto"/>
        </w:rPr>
      </w:pPr>
    </w:p>
    <w:p>
      <w:pPr>
        <w:ind w:right="640"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who use LPP to certify loans during the period. Certain lenders experience periods of inactivity followed by periods of activity, causing the lender count to fluctuate from period to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certified loans.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$ 85.6 million and $249.1 million, respectively, for the three and nine months ended September 30, 2023 and $76.3 million and $214.5 million, respectively, for the three and nine months ended September 30,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 Extension</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26, 2023, the Board of Directors extended the expiration date of our previously authorized share repurchase program allowing the Company to repurchase up to $75.0 million of the Company’s outstanding common stock (the “Share Repurchase Program”) from November 17, 2023 to March 31, 2024. The Share Repurchase Program may be further amended, suspended, or discontinued at any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Enhanced Scorecard</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November 1, 2023, we announced the addition of new alternative data attributes for auto loan applicants to enhance the risk score generated by LPP, which allows LPP to analyze more robust car buyer data for loan decisioning.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LPP now offers:</w:t>
      </w:r>
    </w:p>
    <w:p>
      <w:pPr>
        <w:spacing w:after="0" w:line="117" w:lineRule="exact"/>
        <w:rPr>
          <w:sz w:val="20"/>
          <w:szCs w:val="20"/>
          <w:color w:val="auto"/>
        </w:rPr>
      </w:pPr>
    </w:p>
    <w:p>
      <w:pPr>
        <w:ind w:left="340" w:hanging="332"/>
        <w:spacing w:after="0" w:line="275"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Decisioning that includes new data sources and new alternative data attributes, like the number of payments made over the past year, time elapsed since the initiation of the first auto loan, and the number of auto and non-auto inquiries over the last three years.</w:t>
      </w:r>
    </w:p>
    <w:p>
      <w:pPr>
        <w:spacing w:after="0" w:line="65"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Extended loan protection with a more inclusive credit score range that aligns with the decline of consumer credit scores.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scorecard enhancements are now in place for all of our customers.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automotive lenders and add new ones.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lenders, including traditional banks and credit unions, as well as alternative technology-enabled lenders. The emergence of other insurers, in competition with our insurers, could materially impact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rising interest rate levels, changes in monetary and related policies, market volatility, supply chain disruptions, consumer confidence and, particularly, the unemployment rate also influence consumer spending and borrowing patterns.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largest insurance carrier partners accounted for 29% and 10% of our total revenue during the three months ended September 30, 2023, and 32% and 11% during the nine months ended September 30, 2023. Our largest insurance carrier partners accounted for 36% and 12% of our total revenue during the three months ended September 30, 2022 and 37%, 11% and 11% during the nine months ended September 30, 2022.</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largest lender customer accounted for 10% of our total revenue during the three months ended September 30, 2023. There were no lender customers who accounted for more than 10% of our total revenue during the nine months ended September 30, 2023 or during the three and nine months ended September 30, 2022.</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automotive lenders and (iii) claims administration service fees paid to us by insurance partners.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typically capped at $600 per loan or calculated as a percentage of the funded loan amount. For monthly-pay loans, the fee paid by the lender is typically 3% of the initial amount of the loan and is not capped.</w:t>
      </w:r>
    </w:p>
    <w:p>
      <w:pPr>
        <w:spacing w:after="0" w:line="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carrier partners for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claims adjudication services performed by our subsidiary Insurance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Administrative Services, LLC on its insured servicing portfolio. The administration fee is equal to 3% of the monthly insurance earned premium for as long as the LPP certified loan remains outstanding.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increase as we focus on strategic initiatives.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increase as a percentage of our program fee revenue in the near term as we focus on our go-to-market strategy.</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employees engaged in ongoing research and development of our software technology platform. We generally expect our research and development expenses to increase in the near term as we continue to invest in new and existing products and services.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and nine months ended September 30, 2023 and 2022:</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59"/>
        </w:trPr>
        <w:tc>
          <w:tcPr>
            <w:tcW w:w="40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22"/>
                <w:szCs w:val="22"/>
                <w:color w:val="auto"/>
              </w:rPr>
            </w:pPr>
          </w:p>
        </w:tc>
        <w:tc>
          <w:tcPr>
            <w:tcW w:w="348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Nine Months Ended September 30, 2023</w:t>
            </w:r>
          </w:p>
        </w:tc>
      </w:tr>
      <w:tr>
        <w:trPr>
          <w:trHeight w:val="264"/>
        </w:trPr>
        <w:tc>
          <w:tcPr>
            <w:tcW w:w="40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4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5"/>
          </w:tcPr>
          <w:p>
            <w:pPr>
              <w:ind w:left="5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Profit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26,523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83,990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Program fees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Claims administration and other service fees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6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137,701</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8"/>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63"/>
        </w:trPr>
        <w:tc>
          <w:tcPr>
            <w:tcW w:w="402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16,101</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17,671</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44,859</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r>
      <w:tr>
        <w:trPr>
          <w:trHeight w:val="26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92,842</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1888 %</w:t>
            </w:r>
          </w:p>
        </w:tc>
      </w:tr>
      <w:tr>
        <w:trPr>
          <w:trHeight w:val="243"/>
        </w:trPr>
        <w:tc>
          <w:tcPr>
            <w:tcW w:w="402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26,265</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89,436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r>
      <w:tr>
        <w:trPr>
          <w:trHeight w:val="26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24,529</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70,809</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and nine months ended September 30, 2023 and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2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2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81"/>
        </w:trPr>
        <w:tc>
          <w:tcPr>
            <w:tcW w:w="2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42,186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130,661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66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26,026</w:t>
            </w:r>
          </w:p>
        </w:tc>
        <w:tc>
          <w:tcPr>
            <w:tcW w:w="36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36,470</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83,330</w:t>
            </w:r>
          </w:p>
        </w:tc>
        <w:tc>
          <w:tcPr>
            <w:tcW w:w="3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115,557</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15,104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Average program fees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518</w:t>
            </w:r>
          </w:p>
        </w:tc>
        <w:tc>
          <w:tcPr>
            <w:tcW w:w="142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477</w:t>
            </w:r>
          </w:p>
        </w:tc>
        <w:tc>
          <w:tcPr>
            <w:tcW w:w="14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50"/>
        </w:trPr>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314"/>
        </w:trPr>
        <w:tc>
          <w:tcPr>
            <w:tcW w:w="2660" w:type="dxa"/>
            <w:vAlign w:val="bottom"/>
          </w:tcPr>
          <w:p>
            <w:pPr>
              <w:ind w:left="340"/>
              <w:spacing w:after="0"/>
              <w:rPr>
                <w:sz w:val="20"/>
                <w:szCs w:val="20"/>
                <w:color w:val="auto"/>
              </w:rPr>
            </w:pPr>
            <w:r>
              <w:rPr>
                <w:rFonts w:ascii="Arial" w:cs="Arial" w:eastAsia="Arial" w:hAnsi="Arial"/>
                <w:sz w:val="18"/>
                <w:szCs w:val="18"/>
                <w:color w:val="auto"/>
              </w:rPr>
              <w:t xml:space="preserve">Monthly-pay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793</w:t>
            </w:r>
          </w:p>
        </w:tc>
        <w:tc>
          <w:tcPr>
            <w:tcW w:w="142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762</w:t>
            </w:r>
          </w:p>
        </w:tc>
        <w:tc>
          <w:tcPr>
            <w:tcW w:w="1420" w:type="dxa"/>
            <w:vAlign w:val="bottom"/>
          </w:tcPr>
          <w:p>
            <w:pPr>
              <w:jc w:val="right"/>
              <w:spacing w:after="0"/>
              <w:rPr>
                <w:sz w:val="20"/>
                <w:szCs w:val="20"/>
                <w:color w:val="auto"/>
              </w:rPr>
            </w:pPr>
            <w:r>
              <w:rPr>
                <w:rFonts w:ascii="Arial" w:cs="Arial" w:eastAsia="Arial" w:hAnsi="Arial"/>
                <w:sz w:val="18"/>
                <w:szCs w:val="18"/>
                <w:color w:val="auto"/>
              </w:rPr>
              <w:t>7 %</w:t>
            </w:r>
          </w:p>
        </w:tc>
      </w:tr>
    </w:tbl>
    <w:p>
      <w:pPr>
        <w:spacing w:after="0" w:line="6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one-time adjustments of $0.4 million and $0.6 million for the three and nine months ended September 30, 2023,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7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2023 and 2022</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312"/>
        </w:trPr>
        <w:tc>
          <w:tcPr>
            <w:tcW w:w="48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4800" w:type="dxa"/>
            <w:vAlign w:val="bottom"/>
          </w:tcPr>
          <w:p>
            <w:pPr>
              <w:spacing w:after="0"/>
              <w:rPr>
                <w:sz w:val="24"/>
                <w:szCs w:val="24"/>
                <w:color w:val="auto"/>
              </w:rPr>
            </w:pPr>
          </w:p>
        </w:tc>
        <w:tc>
          <w:tcPr>
            <w:tcW w:w="32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31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r>
      <w:tr>
        <w:trPr>
          <w:trHeight w:val="257"/>
        </w:trPr>
        <w:tc>
          <w:tcPr>
            <w:tcW w:w="48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43"/>
        </w:trPr>
        <w:tc>
          <w:tcPr>
            <w:tcW w:w="4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52,950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76,855</w:t>
            </w: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r>
      <w:tr>
        <w:trPr>
          <w:trHeight w:val="25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8,022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26,523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44,433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83,990</w:t>
            </w:r>
          </w:p>
        </w:tc>
      </w:tr>
      <w:tr>
        <w:trPr>
          <w:trHeight w:val="278"/>
        </w:trPr>
        <w:tc>
          <w:tcPr>
            <w:tcW w:w="4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15,416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21,845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50,610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62,302</w:t>
            </w:r>
          </w:p>
        </w:tc>
      </w:tr>
      <w:tr>
        <w:trPr>
          <w:trHeight w:val="278"/>
        </w:trPr>
        <w:tc>
          <w:tcPr>
            <w:tcW w:w="4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2,293</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6,481</w:t>
            </w:r>
          </w:p>
        </w:tc>
      </w:tr>
      <w:tr>
        <w:trPr>
          <w:trHeight w:val="29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26,006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$24.7 million, or 49%, during the three months ended September 30, 2023, as compared to the same period in 2022, driven by an $18.5 million decrease in profit share revenue and a $6.4 million decrease in program fees, which was partially offset by increased claims administration and other service fee revenues of $0.3 million, as compared to the three months ended September 30,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$50.3 million, or 33%, during the nine months ended September 30, 2023, as compared to the same period in 2022, driven by a $39.6 million decrease in profit share revenue and an $11.7 million decrease in program fees, which was partially offset by increased claims administration and other service fee revenues of $1.0 million, as compared to the nine months ended September 30, 2022.</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Profit share revenue decreased by $18.5 million, or 70%, during the three months ended September 30, 2023, as compared to the same period in 2022. Profit share revenue associated with new certified loan originations decreased $8.8 million, or 35%, primarily due to the 29% decrease in certified loans during the three months ended September 30, 2023, as compared to the same period in 2022. Profit share revenue associated with change in estimate decreased $9.7 million, or 582% during those same periods.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2023, we recorded $16.1 million in anticipated profit share associated with 29,959 new certified loans for an average of $537 per loan as compared to $24.9 million in anticipated profit share associated with 42,186 certified loans for an average of $ 589 per loan during the three months ended September 30, 2022. In addition, during the three months ended September 30, 2023, we recorded a reduction of $8.1 million in profit share revenue related to business in historic vintages primarily due to higher than anticipated loan defaults, partially offset by lower than anticipated severity of losses and prepayment rates. During the three months ended September 30, 2022, we recorded an increase of $1.7 million in profit share revenue related to business in historic vintages primarily due to lower than anticipated severity of losses.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Profit share revenue decreased by $39.6 million, or 47%, during the nine months ended September 30, 2023, as compared to the same period in 2022. Profit share revenue associated with new certified loan originations decreased $23.9 million, or 31%, primarily due to the 26% decrease in certified loans during the nine months ended September 30, 2023, as compared to the same period in 2022. Profit share revenue associated with change in estimate decreased $15.7 million, or 219% during those same periods.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2023, we recorded $53.0 million in anticipated profit share associated with 96,721 new certified loans for an average of $547 per loan as compared to $76.9 million in anticipated profit share associated with 130,661 certified loans for an average of $ 588 per loan during the nine months ended September 30, 2022. In addition, during the nine months ended September 30, 2023, we recorded a reduction of $8.5 million in profit share revenue related to business in historic vintages primarily due to higher than anticipated loan defaults and prepayments, partially offset by lower than anticipated severity of losses. During the nine months ended September 30, 2022, we recorded an increase of $ 7.1 million in profit share revenue related to business in historic vintages primarily due to lower than anticipated severity of losses. Program fees revenue decreased by $6.4 million, or 29%, during the three months ended September 30, 2023 as compared to the same period in 2022 driven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by a 29% decrease in certified loan volume, partially offset by a 2% increase in unit economics per certified loan, as compared to the prior year period.</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Program fees revenue decreased by $11.7 million, or 19%, during the nine months ended September 30, 2023 as compared to the same period in 2022 driven by a 26% decrease in certified loan volume, partially offset by an 11% increase in unit economics per certified loan, as compared to the prior year period.</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earned premium, increased by $0.3 million and $1.0 million, or 12% and 15%, respectively, during the three and nine months ended September 30, 2023, as compared to the same periods in the prior year, due to increases in total earned premiums.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32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5"/>
          </w:tcPr>
          <w:p>
            <w:pPr>
              <w:ind w:left="76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50,661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102,521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152,773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5,369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16,917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20,637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45,462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85,604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137,701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Cost of services increased $0.2 million, or 3%, during the three months ended September 30, 2023, as compared to the same period in 2022. Cost of services increased $1.8 million, or 12%, during the nine months ended September 30, 2023, as compared to the same period in 2022. For both periods, the change is primarily due to higher employee compensation and benefit costs associated with the growth of our claims administration team and increased focus on product support.</w:t>
      </w:r>
    </w:p>
    <w:p>
      <w:pPr>
        <w:spacing w:after="0" w:line="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Gross profit decreased by $24.8 million and $52.1 million, or 55% and 38%, respectively, during the three and nine months ended September 30, 2023, as compared to the same periods in 2022, primarily driven by decreases in profit share and program fee revenues, as discussed above.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00" w:type="dxa"/>
            <w:vAlign w:val="bottom"/>
            <w:gridSpan w:val="5"/>
          </w:tcPr>
          <w:p>
            <w:pPr>
              <w:spacing w:after="0"/>
              <w:rPr>
                <w:sz w:val="20"/>
                <w:szCs w:val="20"/>
                <w:color w:val="auto"/>
              </w:rPr>
            </w:pPr>
            <w:r>
              <w:rPr>
                <w:rFonts w:ascii="Arial" w:cs="Arial" w:eastAsia="Arial" w:hAnsi="Arial"/>
                <w:sz w:val="18"/>
                <w:szCs w:val="18"/>
                <w:i w:val="1"/>
                <w:iCs w:val="1"/>
                <w:color w:val="auto"/>
              </w:rPr>
              <w:t>Operating Expenses, Operating Income and Operating Margin</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3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00" w:type="dxa"/>
            <w:vAlign w:val="bottom"/>
            <w:gridSpan w:val="5"/>
          </w:tcPr>
          <w:p>
            <w:pPr>
              <w:ind w:left="7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20,637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45,462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85,604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137,701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31,041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13,136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16,101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17,671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48,252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44,859</w:t>
            </w:r>
          </w:p>
        </w:tc>
        <w:tc>
          <w:tcPr>
            <w:tcW w:w="0" w:type="dxa"/>
            <w:vAlign w:val="bottom"/>
          </w:tcPr>
          <w:p>
            <w:pPr>
              <w:spacing w:after="0"/>
              <w:rPr>
                <w:sz w:val="1"/>
                <w:szCs w:val="1"/>
                <w:color w:val="auto"/>
              </w:rPr>
            </w:pPr>
          </w:p>
        </w:tc>
      </w:tr>
      <w:tr>
        <w:trPr>
          <w:trHeight w:val="289"/>
        </w:trPr>
        <w:tc>
          <w:tcPr>
            <w:tcW w:w="80" w:type="dxa"/>
            <w:vAlign w:val="bottom"/>
          </w:tcPr>
          <w:p>
            <w:pPr>
              <w:spacing w:after="0"/>
              <w:rPr>
                <w:sz w:val="24"/>
                <w:szCs w:val="24"/>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27,791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37,352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92,842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4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26,006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50,661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102,521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152,773</w:t>
            </w: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61 %</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expenses increased by $0.5 million, or 6%, during the three months ended September 30, 2023 as compared to the same period in 2022 primarily driven by a $ 2.0 million increase in employee compensation and benefit costs due to the expansion of our corporate administration team in 2022 partially offset by a $1.4 million decrease in professional fees. General and administrative expenses increased by $6.3 million, or 25%, respectively, during the nine months ended September 30, 2023, as compared to the same period last year primarily driven by higher employee compensation and benefit costs of $5.0 million and increased business taxes of $0.8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and marketing expenses decreased by $1.5 million, or 25%, during the three months ended September 30, 2023 as compared to the same period in 2022 primarily driven by a decrease in employee compensation. Selling and marketing expenses decreased by $0.6 million, or 4%, during the nine months ended September 30, 2023 as compared to the same period in 2022 primarily driven by a $1.8 million decrease in compensation partially offset by a $1.2 million increase in marketing expenses, including event costs, media relations and branding costs.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and development expenses decreased by $0.6 million, or 27%, during the three months ended September 30, 2023, as compared to the same period in 2022. Research and development expenses decreased by $2.3 million, or 36%, during the nine months ended September 30, 2023, as compared to the same period in 2022. For both periods, the change was primarily due to increased focus on product support and the development of internal use software.</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 and nine months ended September 30, 2023 decreased by $23.3 million and $55.5 million, or 84% and 60%, respectively, as compared to the prior year periods, primarily driven by decreases in total revenues as well as changes in operating expenses, as discussed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$1.2 million, or 74%, for the three months ended September 30, 2023, as compared to the same period in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$4.3 million, or 122%, for the nine months ended September 30, 2023, as compared to the same period in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both periods, interest expense increased as a result of higher borrowing costs during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nine months ended September 30, 2023, interest income increased $2.5 million and $6.9 million, respectively, compared to the same periods in 2022 primarily due to interest earned on U.S. Treasury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and 2022, we recognized income tax expense of $1.5 million and $1.7 million, respectively, with effective tax rates of 33.8% and 6.6%, respectively. During the nine months ended September 30, 2023 and 2022, we recognized income tax expense of $9.9 million and $18.6 million, respectively, with effective tax rates of 26.9% and 20.8%, respectively.</w:t>
      </w:r>
    </w:p>
    <w:p>
      <w:pPr>
        <w:spacing w:after="0" w:line="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Income tax expense decreased $ 0.2 million and $8.7 million, or 12% and 47%, respectively, during the three and nine months ended September 30, 2023 as compared to the three and nine months ended September 30, 2022, primarily as a result of the decrease in income before income taxes as well as a discrete tax benefit in the third quarter of 2022 associated with the enactment of state tax legislation with a retroactive effective date of January 1,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0000FF"/>
        </w:rPr>
        <w:t xml:space="preserve"> </w:t>
      </w:r>
      <w:r>
        <w:rPr>
          <w:rFonts w:ascii="Arial" w:cs="Arial" w:eastAsia="Arial" w:hAnsi="Arial"/>
          <w:sz w:val="18"/>
          <w:szCs w:val="18"/>
          <w:color w:val="000000"/>
        </w:rPr>
        <w:t>in this Quarterly Report and our Annual Report for a full description of the related estimates,</w:t>
      </w:r>
      <w:r>
        <w:rPr>
          <w:rFonts w:ascii="Arial" w:cs="Arial" w:eastAsia="Arial" w:hAnsi="Arial"/>
          <w:sz w:val="18"/>
          <w:szCs w:val="18"/>
          <w:color w:val="0000FF"/>
        </w:rPr>
        <w:t xml:space="preserve"> </w:t>
      </w:r>
      <w:r>
        <w:rPr>
          <w:rFonts w:ascii="Arial" w:cs="Arial" w:eastAsia="Arial" w:hAnsi="Arial"/>
          <w:sz w:val="18"/>
          <w:szCs w:val="18"/>
          <w:color w:val="000000"/>
        </w:rPr>
        <w:t>assumptions and judgments.</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38"/>
        </w:trPr>
        <w:tc>
          <w:tcPr>
            <w:tcW w:w="716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1"/>
        </w:trPr>
        <w:tc>
          <w:tcPr>
            <w:tcW w:w="14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57"/>
        </w:trPr>
        <w:tc>
          <w:tcPr>
            <w:tcW w:w="1400" w:type="dxa"/>
            <w:vAlign w:val="bottom"/>
          </w:tcPr>
          <w:p>
            <w:pPr>
              <w:spacing w:after="0"/>
              <w:rPr>
                <w:sz w:val="22"/>
                <w:szCs w:val="22"/>
                <w:color w:val="auto"/>
              </w:rPr>
            </w:pPr>
          </w:p>
        </w:tc>
        <w:tc>
          <w:tcPr>
            <w:tcW w:w="5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33"/>
        </w:trPr>
        <w:tc>
          <w:tcPr>
            <w:tcW w:w="14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2"/>
          </w:tcPr>
          <w:p>
            <w:pPr>
              <w:jc w:val="right"/>
              <w:ind w:right="7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tcPr>
          <w:p>
            <w:pPr>
              <w:spacing w:after="0"/>
              <w:rPr>
                <w:sz w:val="20"/>
                <w:szCs w:val="20"/>
                <w:color w:val="auto"/>
              </w:rPr>
            </w:pPr>
          </w:p>
        </w:tc>
      </w:tr>
      <w:tr>
        <w:trPr>
          <w:trHeight w:val="26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65,903</w:t>
            </w:r>
          </w:p>
        </w:tc>
        <w:tc>
          <w:tcPr>
            <w:tcW w:w="6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84,997</w:t>
            </w:r>
          </w:p>
        </w:tc>
      </w:tr>
      <w:tr>
        <w:trPr>
          <w:trHeight w:val="24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(1,588)</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7"/>
        </w:trPr>
        <w:tc>
          <w:tcPr>
            <w:tcW w:w="7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(34,423)</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7"/>
        </w:trPr>
        <w:tc>
          <w:tcPr>
            <w:tcW w:w="140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spacing w:after="0"/>
              <w:rPr>
                <w:sz w:val="20"/>
                <w:szCs w:val="20"/>
                <w:color w:val="auto"/>
              </w:rPr>
            </w:pPr>
          </w:p>
        </w:tc>
        <w:tc>
          <w:tcPr>
            <w:tcW w:w="40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57"/>
        </w:trPr>
        <w:tc>
          <w:tcPr>
            <w:tcW w:w="716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13"/>
        </w:trPr>
        <w:tc>
          <w:tcPr>
            <w:tcW w:w="7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6"/>
                <w:szCs w:val="16"/>
                <w:i w:val="1"/>
                <w:iCs w:val="1"/>
                <w:color w:val="auto"/>
              </w:rPr>
              <w:t>(in thousands)</w:t>
            </w:r>
          </w:p>
        </w:tc>
        <w:tc>
          <w:tcPr>
            <w:tcW w:w="1360" w:type="dxa"/>
            <w:vAlign w:val="bottom"/>
          </w:tcPr>
          <w:p>
            <w:pPr>
              <w:spacing w:after="0"/>
              <w:rPr>
                <w:sz w:val="18"/>
                <w:szCs w:val="18"/>
                <w:color w:val="auto"/>
              </w:rPr>
            </w:pPr>
          </w:p>
        </w:tc>
      </w:tr>
      <w:tr>
        <w:trPr>
          <w:trHeight w:val="232"/>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26,912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70,809</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Non-cash reconciling adjustments</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other assets and liabilities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65,903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decreased by $19.1 million for the nine months ended September 30, 2023 as compared to the nine months ended September 30, 2022. The decrease was primarily attributable to decreased cash collections of $36.5 million related to reduced profit share, program fees and claims administration service fee revenues, a $5.0 million increase in cash payments related to cost of services and operating expenses and a $4.7 million increase in interest payments. This decrease in cash was offset by an $18.5 million reduction in income tax payments and a $6.9 million increase in interest income received during the nine months ended September 30, 2023 as compared to the nine months ended September 30, 2022.</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and 2022, net cash used in investing activities was $1.6 million and $0.6 million, respectively. For the nine months ended September 30, 2023 and 2022, the investments were primarily related to computer software developed for internal use.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cash flows used in and provided by financing activities primarily consist of share repurchases, payments of debt and deferred financing costs.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nine months ended September 30, 2023, net cash used in financing activities was $34.4 million and is primarily related to the repurchase of 4,296,927 shares of our common stock held in treasury stock for a total of $31.3 million, excluding excise tax.</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nine months ended September 30, 2022, net cash provided by financing activities was $1.3 million. The cash inflow of $150.0 million relates to proceeds from our Term Loan due 2027, which paid off our then-existing debt, less $ 1.0 million in deferred financing costs associated with the loan. Debt principal payments were $122.7 million, primarily related to payment in full of the Company’s term loan due 2026. In addition, we paid off all amounts outstanding under the Company’s prior revolving credit facility totaling $25.0 million.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September 30, 2023, we had no amounts outstanding under the Revolving Credit Facility and $146.3 million outstanding under our Term Loan due 2027.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November 17, 2022, the Board of Directors authorized the Share Repurchase Program for up to $75.0 million of the Company’s outstanding common stock until November 17, 2023. On October 26, 2023, the Board of Directors extended the expiration date of the Share Repurchase Program to March 31, 2024. Repurchases may be made at management’s discretion from time to time on the open market. The Share Repurchase Program may be suspended, amended, or discontinued at any time. Pursuant to the Share Repurchase Program, during the three and nine month periods ended September 30, 2023, the Company repurchased 1,201,593 and 4,296,927 shares at an average price of $8.32 and $7.29 for a total of $10.0 million and $ 31.3 million, excluding excise tax, respectively, leaving $25.7 million available under our Share Repurchase Program as of September 30, 2023. These shares were recorded to </w:t>
      </w:r>
      <w:r>
        <w:rPr>
          <w:rFonts w:ascii="Arial" w:cs="Arial" w:eastAsia="Arial" w:hAnsi="Arial"/>
          <w:sz w:val="18"/>
          <w:szCs w:val="18"/>
          <w:i w:val="1"/>
          <w:iCs w:val="1"/>
          <w:color w:val="auto"/>
        </w:rPr>
        <w:t>Treasury stock, at cost</w:t>
      </w:r>
      <w:r>
        <w:rPr>
          <w:rFonts w:ascii="Arial" w:cs="Arial" w:eastAsia="Arial" w:hAnsi="Arial"/>
          <w:sz w:val="18"/>
          <w:szCs w:val="18"/>
          <w:color w:val="auto"/>
        </w:rPr>
        <w:t xml:space="preserve"> in the unaudited Condensed Consolidated Balance Sheets, which includes $ 0.3 million of excise tax expected to be paid in April 2024. This excise tax payable is included within A</w:t>
      </w:r>
      <w:r>
        <w:rPr>
          <w:rFonts w:ascii="Arial" w:cs="Arial" w:eastAsia="Arial" w:hAnsi="Arial"/>
          <w:sz w:val="18"/>
          <w:szCs w:val="18"/>
          <w:i w:val="1"/>
          <w:iCs w:val="1"/>
          <w:color w:val="auto"/>
        </w:rPr>
        <w:t>ccrued expenses</w:t>
      </w:r>
      <w:r>
        <w:rPr>
          <w:rFonts w:ascii="Arial" w:cs="Arial" w:eastAsia="Arial" w:hAnsi="Arial"/>
          <w:sz w:val="18"/>
          <w:szCs w:val="18"/>
          <w:color w:val="auto"/>
        </w:rPr>
        <w:t xml:space="preserve"> in the unaudited Condensed Consolidated Balance Sheets.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2"/>
                <w:szCs w:val="22"/>
                <w:color w:val="auto"/>
              </w:rPr>
            </w:pPr>
          </w:p>
        </w:tc>
        <w:tc>
          <w:tcPr>
            <w:tcW w:w="33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2"/>
                <w:szCs w:val="22"/>
                <w:color w:val="auto"/>
              </w:rPr>
            </w:pPr>
          </w:p>
        </w:tc>
        <w:tc>
          <w:tcPr>
            <w:tcW w:w="32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44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43"/>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7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26,912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70,809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3,535</w:t>
            </w:r>
          </w:p>
        </w:tc>
      </w:tr>
      <w:tr>
        <w:trPr>
          <w:trHeight w:val="229"/>
        </w:trPr>
        <w:tc>
          <w:tcPr>
            <w:tcW w:w="44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18,627</w:t>
            </w:r>
          </w:p>
        </w:tc>
      </w:tr>
      <w:tr>
        <w:trPr>
          <w:trHeight w:val="176"/>
        </w:trPr>
        <w:tc>
          <w:tcPr>
            <w:tcW w:w="44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Depreciation and amortization of property and</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2"/>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r>
      <w:tr>
        <w:trPr>
          <w:trHeight w:val="229"/>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3,564</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25,398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26,406</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10,325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29,401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52,310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97,215</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26,006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102,521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152,773</w:t>
            </w:r>
          </w:p>
        </w:tc>
      </w:tr>
      <w:tr>
        <w:trPr>
          <w:trHeight w:val="251"/>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64 %</w:t>
            </w:r>
          </w:p>
        </w:tc>
      </w:tr>
    </w:tbl>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Adjusted EBITDA decreased by $19.1 million, or 65%, as compared to the three months ended September 30, 2022. Adjusted EBITDA margin for the three months ended September 30, 2023 decreased to 40% as compared to 58% during the same period in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2023, Adjusted EBITDA decreased by $44.9 million, or 46%, as compared to the nine months ended September 30, 2022. Adjusted EBITDA margin for the nine months ended September 30, 2023 decreased to 51% as compared to 64% during the same period in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Adjusted EBITDA during the three and nine months ended September 30, 2023 reflects our reduced revenue due to lower certified loan volume and the impact of profit share revenue change in estimate as well as increased cost of services and operating expenses during each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have not been any material changes during the three and nine months ended September 30, 2023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 and Estimates</w:t>
      </w:r>
      <w:r>
        <w:rPr>
          <w:rFonts w:ascii="Arial" w:cs="Arial" w:eastAsia="Arial" w:hAnsi="Arial"/>
          <w:sz w:val="18"/>
          <w:szCs w:val="18"/>
          <w:color w:val="auto"/>
        </w:rPr>
        <w:t>”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description of our critical accounting policies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no material changes in our contractual commitments and obligations during the three and nine months ended September 30, 2023 from the amounts listed under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rising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New Term Loan due 2027 also exposes us to changes in short-term interest rates since interest rates on the underlying obligations are variable.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2023, we had outstanding amounts of $146.3 million under the Term Loan due 2027, which is scheduled to mature on September 9, 2027. There were no amounts outstanding under the Revolving Credit Facility as of September 30, 2023.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0.150%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7"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September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Period</w:t>
      </w:r>
    </w:p>
    <w:p>
      <w:pPr>
        <w:spacing w:after="0" w:line="46" w:lineRule="exact"/>
        <w:rPr>
          <w:sz w:val="20"/>
          <w:szCs w:val="20"/>
          <w:color w:val="auto"/>
        </w:rPr>
      </w:pPr>
    </w:p>
    <w:p>
      <w:pPr>
        <w:jc w:val="both"/>
        <w:ind w:left="20"/>
        <w:spacing w:after="0" w:line="294" w:lineRule="auto"/>
        <w:rPr>
          <w:sz w:val="20"/>
          <w:szCs w:val="20"/>
          <w:color w:val="auto"/>
        </w:rPr>
      </w:pPr>
      <w:r>
        <w:rPr>
          <w:rFonts w:ascii="Arial" w:cs="Arial" w:eastAsia="Arial" w:hAnsi="Arial"/>
          <w:sz w:val="17"/>
          <w:szCs w:val="17"/>
          <w:color w:val="auto"/>
        </w:rPr>
        <w:t>7/1/2023-7/31/2023 8/1/2023-8/31/2023 9/1/2023-9/30/2023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Pr>
          <w:p>
            <w:pPr>
              <w:jc w:val="center"/>
              <w:ind w:right="52"/>
              <w:spacing w:after="0"/>
              <w:rPr>
                <w:sz w:val="20"/>
                <w:szCs w:val="20"/>
                <w:color w:val="auto"/>
              </w:rPr>
            </w:pPr>
            <w:r>
              <w:rPr>
                <w:rFonts w:ascii="Arial" w:cs="Arial" w:eastAsia="Arial" w:hAnsi="Arial"/>
                <w:sz w:val="18"/>
                <w:szCs w:val="18"/>
                <w:b w:val="1"/>
                <w:bCs w:val="1"/>
                <w:color w:val="auto"/>
              </w:rPr>
              <w:t>Approximate dollar value of</w:t>
            </w:r>
          </w:p>
        </w:tc>
        <w:tc>
          <w:tcPr>
            <w:tcW w:w="0" w:type="dxa"/>
            <w:vAlign w:val="bottom"/>
          </w:tcPr>
          <w:p>
            <w:pPr>
              <w:spacing w:after="0"/>
              <w:rPr>
                <w:sz w:val="1"/>
                <w:szCs w:val="1"/>
                <w:color w:val="auto"/>
              </w:rPr>
            </w:pPr>
          </w:p>
        </w:tc>
      </w:tr>
      <w:tr>
        <w:trPr>
          <w:trHeight w:val="180"/>
        </w:trPr>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5"/>
                <w:szCs w:val="15"/>
                <w:color w:val="auto"/>
              </w:rPr>
            </w:pPr>
          </w:p>
        </w:tc>
        <w:tc>
          <w:tcPr>
            <w:tcW w:w="22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Average price paid per</w:t>
            </w:r>
          </w:p>
        </w:tc>
        <w:tc>
          <w:tcPr>
            <w:tcW w:w="21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purchased as part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Pr>
          <w:p>
            <w:pPr>
              <w:jc w:val="center"/>
              <w:ind w:right="52"/>
              <w:spacing w:after="0" w:line="180"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63"/>
        </w:trPr>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publicly announced</w:t>
            </w:r>
          </w:p>
        </w:tc>
        <w:tc>
          <w:tcPr>
            <w:tcW w:w="100" w:type="dxa"/>
            <w:vAlign w:val="bottom"/>
          </w:tcPr>
          <w:p>
            <w:pPr>
              <w:spacing w:after="0"/>
              <w:rPr>
                <w:sz w:val="5"/>
                <w:szCs w:val="5"/>
                <w:color w:val="auto"/>
              </w:rPr>
            </w:pPr>
          </w:p>
        </w:tc>
        <w:tc>
          <w:tcPr>
            <w:tcW w:w="27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purchased under the plans or</w:t>
            </w:r>
          </w:p>
        </w:tc>
        <w:tc>
          <w:tcPr>
            <w:tcW w:w="0" w:type="dxa"/>
            <w:vAlign w:val="bottom"/>
          </w:tcPr>
          <w:p>
            <w:pPr>
              <w:spacing w:after="0"/>
              <w:rPr>
                <w:sz w:val="1"/>
                <w:szCs w:val="1"/>
                <w:color w:val="auto"/>
              </w:rPr>
            </w:pPr>
          </w:p>
        </w:tc>
      </w:tr>
      <w:tr>
        <w:trPr>
          <w:trHeight w:val="176"/>
        </w:trPr>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2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50"/>
              <w:spacing w:after="0" w:line="176" w:lineRule="exact"/>
              <w:rPr>
                <w:sz w:val="20"/>
                <w:szCs w:val="20"/>
                <w:color w:val="auto"/>
              </w:rPr>
            </w:pPr>
            <w:r>
              <w:rPr>
                <w:rFonts w:ascii="Arial" w:cs="Arial" w:eastAsia="Arial" w:hAnsi="Arial"/>
                <w:sz w:val="18"/>
                <w:szCs w:val="18"/>
                <w:b w:val="1"/>
                <w:bCs w:val="1"/>
                <w:color w:val="auto"/>
              </w:rPr>
              <w:t>share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0"/>
                <w:szCs w:val="20"/>
                <w:b w:val="1"/>
                <w:bCs w:val="1"/>
                <w:color w:val="auto"/>
                <w:vertAlign w:val="superscript"/>
              </w:rPr>
              <w:t>(2)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52"/>
              <w:spacing w:after="0" w:line="176" w:lineRule="exact"/>
              <w:rPr>
                <w:sz w:val="20"/>
                <w:szCs w:val="20"/>
                <w:color w:val="auto"/>
              </w:rPr>
            </w:pPr>
            <w:r>
              <w:rPr>
                <w:rFonts w:ascii="Arial" w:cs="Arial" w:eastAsia="Arial" w:hAnsi="Arial"/>
                <w:sz w:val="16"/>
                <w:szCs w:val="16"/>
                <w:b w:val="1"/>
                <w:bCs w:val="1"/>
                <w:color w:val="auto"/>
              </w:rPr>
              <w:t xml:space="preserve">programs (in millions)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223"/>
        </w:trPr>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1680" w:type="dxa"/>
            <w:vAlign w:val="bottom"/>
          </w:tcPr>
          <w:p>
            <w:pPr>
              <w:jc w:val="right"/>
              <w:spacing w:after="0"/>
              <w:rPr>
                <w:sz w:val="20"/>
                <w:szCs w:val="20"/>
                <w:color w:val="auto"/>
              </w:rPr>
            </w:pPr>
            <w:r>
              <w:rPr>
                <w:rFonts w:ascii="Arial" w:cs="Arial" w:eastAsia="Arial" w:hAnsi="Arial"/>
                <w:sz w:val="18"/>
                <w:szCs w:val="18"/>
                <w:color w:val="auto"/>
              </w:rPr>
              <w:t>896,672</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896,096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306,478</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1,203,150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-334010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-633730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1580" w:space="660"/>
            <w:col w:w="9000"/>
          </w:cols>
          <w:pgMar w:left="320" w:top="125" w:right="339" w:bottom="1440" w:gutter="0" w:footer="0" w:header="0"/>
          <w:type w:val="continuous"/>
        </w:sectPr>
      </w:pPr>
    </w:p>
    <w:p>
      <w:pPr>
        <w:ind w:firstLine="8"/>
        <w:spacing w:after="0" w:line="254"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zero shares in July 2023, 576 shares in August 2023 and 981 shares in September 2023 which were purchased from employees to satisfy their tax withholding obligations related to share-based awards that vested during those months.</w:t>
      </w: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Board of Directors authorized share repurchases under the Share Repurchase Program for up to $75.0 million, effective through March 31, 2024.</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8"/>
                <w:szCs w:val="18"/>
                <w:color w:val="auto"/>
              </w:rPr>
            </w:pPr>
          </w:p>
        </w:tc>
        <w:tc>
          <w:tcPr>
            <w:tcW w:w="10060" w:type="dxa"/>
            <w:vAlign w:val="bottom"/>
            <w:gridSpan w:val="10"/>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60" w:type="dxa"/>
            <w:vAlign w:val="bottom"/>
            <w:tcBorders>
              <w:top w:val="single" w:sz="8" w:color="auto"/>
              <w:bottom w:val="single" w:sz="8" w:color="0000FF"/>
            </w:tcBorders>
            <w:gridSpan w:val="10"/>
          </w:tcPr>
          <w:p>
            <w:pPr>
              <w:spacing w:after="0"/>
              <w:rPr>
                <w:rFonts w:ascii="Arial" w:cs="Arial" w:eastAsia="Arial" w:hAnsi="Arial"/>
                <w:sz w:val="18"/>
                <w:szCs w:val="18"/>
                <w:color w:val="0000FF"/>
              </w:rPr>
            </w:pPr>
            <w:hyperlink r:id="rId67">
              <w:r>
                <w:rPr>
                  <w:rFonts w:ascii="Arial" w:cs="Arial" w:eastAsia="Arial" w:hAnsi="Arial"/>
                  <w:sz w:val="18"/>
                  <w:szCs w:val="18"/>
                  <w:color w:val="0000FF"/>
                </w:rPr>
                <w:t>Amended and Restated Certificate of Incorporation of Open Lending Corporation (incorporated by reference to Exhibit 3.1 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Open Lending Corporation’s Current Report on Form 8-K filed June 15, 2020).</w:t>
              </w:r>
            </w:hyperlink>
          </w:p>
        </w:tc>
        <w:tc>
          <w:tcPr>
            <w:tcW w:w="3840" w:type="dxa"/>
            <w:vAlign w:val="bottom"/>
            <w:gridSpan w:val="8"/>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9"/>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Bylaws of Open Lending Corporation (incorporated by reference to Exhibit 3.2 to Open Lending</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tcPr>
          <w:p>
            <w:pPr>
              <w:spacing w:after="0" w:line="196"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Corporation’s Current Report on Form 8-K filed June 15, 2020).</w:t>
              </w:r>
            </w:hyperlink>
          </w:p>
        </w:tc>
        <w:tc>
          <w:tcPr>
            <w:tcW w:w="5020" w:type="dxa"/>
            <w:vAlign w:val="bottom"/>
            <w:gridSpan w:val="9"/>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rFonts w:ascii="Arial" w:cs="Arial" w:eastAsia="Arial" w:hAnsi="Arial"/>
                <w:sz w:val="18"/>
                <w:szCs w:val="18"/>
                <w:color w:val="0000FF"/>
              </w:rPr>
            </w:pPr>
            <w:hyperlink r:id="rId69">
              <w:r>
                <w:rPr>
                  <w:rFonts w:ascii="Arial" w:cs="Arial" w:eastAsia="Arial" w:hAnsi="Arial"/>
                  <w:sz w:val="18"/>
                  <w:szCs w:val="18"/>
                  <w:color w:val="0000FF"/>
                </w:rPr>
                <w:t>First Amendment to Transition Services Agreement by and between the Company and John J. Flynn, dated July 27, 2023</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(incorporated by reference to Exhibit 10.1 to Open Lending Corporation’s Current Report on Form 8-K filed August 2, 2023).</w:t>
              </w:r>
            </w:hyperlink>
          </w:p>
        </w:tc>
        <w:tc>
          <w:tcPr>
            <w:tcW w:w="220" w:type="dxa"/>
            <w:vAlign w:val="bottom"/>
            <w:gridSpan w:val="2"/>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Certification of the Chief Financial Officer pursuant to Section 302 of the Sarbanes-Oxley Act of 2002.</w:t>
            </w:r>
          </w:p>
        </w:tc>
        <w:tc>
          <w:tcPr>
            <w:tcW w:w="1940" w:type="dxa"/>
            <w:vAlign w:val="bottom"/>
            <w:gridSpan w:val="6"/>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0000FF"/>
              </w:rPr>
              <w:t>Certification of Chief Executive Officer pursuant to Section 906 of the Sarbanes-Oxley Act of 2002 (18 U.S.C. § 1350)</w:t>
            </w: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of Chief Financial Officer pursuant to Section 906 of the Sarbanes-Oxley Act of 2002 (18 U.S.C. § 1350)</w:t>
            </w:r>
          </w:p>
        </w:tc>
        <w:tc>
          <w:tcPr>
            <w:tcW w:w="740" w:type="dxa"/>
            <w:vAlign w:val="bottom"/>
            <w:gridSpan w:val="4"/>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60" w:type="dxa"/>
            <w:vAlign w:val="bottom"/>
            <w:gridSpan w:val="5"/>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32"/>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The following financial statements from Open Lending Corporation’s Quarterly Report on Form 10-Q for the quarterly period</w:t>
            </w:r>
          </w:p>
        </w:tc>
      </w:tr>
      <w:tr>
        <w:trPr>
          <w:trHeight w:val="229"/>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ended September 30, 2023,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(iii) Condensed Consolidated Statements of Changes in Stockholders’ Equity</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54" w:lineRule="exact"/>
        <w:rPr>
          <w:sz w:val="20"/>
          <w:szCs w:val="20"/>
          <w:color w:val="auto"/>
        </w:rPr>
      </w:pPr>
    </w:p>
    <w:p>
      <w:pPr>
        <w:ind w:left="1180" w:hanging="755"/>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790"/>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380" w:firstLine="48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500"/>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2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November 8, 2023</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2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certify that:</w:t>
      </w:r>
    </w:p>
    <w:p>
      <w:pPr>
        <w:spacing w:after="0" w:line="117"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3"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jc w:val="both"/>
        <w:ind w:left="980" w:hanging="486"/>
        <w:spacing w:after="0" w:line="263"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jc w:val="both"/>
        <w:ind w:left="980" w:hanging="486"/>
        <w:spacing w:after="0" w:line="263" w:lineRule="auto"/>
        <w:tabs>
          <w:tab w:leader="none" w:pos="9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left="980" w:hanging="486"/>
        <w:spacing w:after="0" w:line="263"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460" w:hanging="480"/>
        <w:spacing w:after="0" w:line="275" w:lineRule="auto"/>
        <w:tabs>
          <w:tab w:leader="none" w:pos="14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2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20" w:hanging="486"/>
        <w:spacing w:after="0" w:line="263" w:lineRule="auto"/>
        <w:tabs>
          <w:tab w:leader="none" w:pos="9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jc w:val="both"/>
        <w:ind w:left="980" w:hanging="486"/>
        <w:spacing w:after="0" w:line="263" w:lineRule="auto"/>
        <w:tabs>
          <w:tab w:leader="none" w:pos="9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jc w:val="both"/>
        <w:ind w:left="980" w:hanging="486"/>
        <w:spacing w:after="0" w:line="263" w:lineRule="auto"/>
        <w:tabs>
          <w:tab w:leader="none" w:pos="9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jc w:val="both"/>
        <w:ind w:left="980" w:hanging="486"/>
        <w:spacing w:after="0" w:line="263" w:lineRule="auto"/>
        <w:tabs>
          <w:tab w:leader="none" w:pos="9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460" w:hanging="480"/>
        <w:spacing w:after="0" w:line="263"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460" w:hanging="480"/>
        <w:spacing w:after="0" w:line="275" w:lineRule="auto"/>
        <w:tabs>
          <w:tab w:leader="none" w:pos="14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29"/>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2"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for the fiscal quarter ended September 30, 2023 of Open Lending Corporation, a Delaware corporation (the “Company”), as filed with the Securities and Exchange Commission on the date hereof (the “Form 10-Q”), I, Keith A. Jezek, Chief Executive Officer of the Company, certify, pursuant to 18 U.S.C. section 1350, as adopted pursuant to section 906 of the Sarbanes-Oxley Act of 2002, that to the best of my knowledge:</w:t>
      </w:r>
    </w:p>
    <w:p>
      <w:pPr>
        <w:spacing w:after="0" w:line="82" w:lineRule="exact"/>
        <w:rPr>
          <w:sz w:val="20"/>
          <w:szCs w:val="20"/>
          <w:color w:val="auto"/>
        </w:rPr>
      </w:pPr>
    </w:p>
    <w:p>
      <w:pPr>
        <w:ind w:left="500" w:right="640" w:hanging="492"/>
        <w:spacing w:after="0" w:line="275" w:lineRule="auto"/>
        <w:tabs>
          <w:tab w:leader="none" w:pos="4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65" w:lineRule="exact"/>
        <w:rPr>
          <w:rFonts w:ascii="Arial" w:cs="Arial" w:eastAsia="Arial" w:hAnsi="Arial"/>
          <w:sz w:val="18"/>
          <w:szCs w:val="18"/>
          <w:color w:val="auto"/>
        </w:rPr>
      </w:pPr>
    </w:p>
    <w:p>
      <w:pPr>
        <w:ind w:left="500" w:right="300" w:hanging="492"/>
        <w:spacing w:after="0" w:line="275" w:lineRule="auto"/>
        <w:tabs>
          <w:tab w:leader="none" w:pos="4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9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13970</wp:posOffset>
            </wp:positionV>
            <wp:extent cx="32232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8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8, 2023</w:t>
      </w:r>
    </w:p>
    <w:p>
      <w:pPr>
        <w:sectPr>
          <w:pgSz w:w="11900" w:h="16838" w:orient="portrait"/>
          <w:cols w:equalWidth="0" w:num="1">
            <w:col w:w="11240"/>
          </w:cols>
          <w:pgMar w:left="320" w:top="110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for the fiscal quarter ended September 30, 2023 of Open Lending Corporation, a Delaware corporation (the “Company”), as filed with the Securities and Exchange Commission on the date hereof (the “Form 10-Q”), I, Charles D. Jehl, Chief Financial Officer of the Company, certify, pursuant to 18 U.S.C. section 1350, as adopted pursuant to section 906 of the Sarbanes-Oxley Act of 2002, that to the best of my knowledge:</w:t>
      </w:r>
    </w:p>
    <w:p>
      <w:pPr>
        <w:spacing w:after="0" w:line="82" w:lineRule="exact"/>
        <w:rPr>
          <w:sz w:val="20"/>
          <w:szCs w:val="20"/>
          <w:color w:val="auto"/>
        </w:rPr>
      </w:pPr>
    </w:p>
    <w:p>
      <w:pPr>
        <w:ind w:left="500" w:right="640" w:hanging="492"/>
        <w:spacing w:after="0" w:line="275" w:lineRule="auto"/>
        <w:tabs>
          <w:tab w:leader="none" w:pos="4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section 15(d) of the Securities Exchange Act of 1934, as amended; and</w:t>
      </w:r>
    </w:p>
    <w:p>
      <w:pPr>
        <w:spacing w:after="0" w:line="65" w:lineRule="exact"/>
        <w:rPr>
          <w:rFonts w:ascii="Arial" w:cs="Arial" w:eastAsia="Arial" w:hAnsi="Arial"/>
          <w:sz w:val="18"/>
          <w:szCs w:val="18"/>
          <w:color w:val="auto"/>
        </w:rPr>
      </w:pPr>
    </w:p>
    <w:p>
      <w:pPr>
        <w:ind w:left="500" w:right="300" w:hanging="492"/>
        <w:spacing w:after="0" w:line="275" w:lineRule="auto"/>
        <w:tabs>
          <w:tab w:leader="none" w:pos="4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9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13970</wp:posOffset>
            </wp:positionV>
            <wp:extent cx="32232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8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8, 2023</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4"/>
      <w:numFmt w:val="bullet"/>
      <w:start w:val="1"/>
    </w:lvl>
    <w:lvl w:ilvl="1">
      <w:lvlJc w:val="left"/>
      <w:lvlText w:val="%2)"/>
      <w:numFmt w:val="lowerLetter"/>
      <w:start w:val="1"/>
    </w:lvl>
  </w:abstractNum>
  <w:abstractNum w:abstractNumId="15">
    <w:nsid w:val="257130A3"/>
    <w:multiLevelType w:val="hybridMultilevel"/>
    <w:lvl w:ilvl="0">
      <w:lvlJc w:val="left"/>
      <w:lvlText w:val="5"/>
      <w:numFmt w:val="bullet"/>
      <w:start w:val="1"/>
    </w:lvl>
    <w:lvl w:ilvl="1">
      <w:lvlJc w:val="left"/>
      <w:lvlText w:val="%2)"/>
      <w:numFmt w:val="lowerLetter"/>
      <w:start w:val="1"/>
    </w:lvl>
  </w:abstractNum>
  <w:abstractNum w:abstractNumId="16">
    <w:nsid w:val="62BBD95A"/>
    <w:multiLevelType w:val="hybridMultilevel"/>
    <w:lvl w:ilvl="0">
      <w:lvlJc w:val="left"/>
      <w:lvlText w:val="1"/>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4"/>
      <w:numFmt w:val="bullet"/>
      <w:start w:val="1"/>
    </w:lvl>
    <w:lvl w:ilvl="1">
      <w:lvlJc w:val="left"/>
      <w:lvlText w:val="%2)"/>
      <w:numFmt w:val="lowerLetter"/>
      <w:start w:val="1"/>
    </w:lvl>
  </w:abstractNum>
  <w:abstractNum w:abstractNumId="20">
    <w:nsid w:val="721DA317"/>
    <w:multiLevelType w:val="hybridMultilevel"/>
    <w:lvl w:ilvl="0">
      <w:lvlJc w:val="left"/>
      <w:lvlText w:val="5"/>
      <w:numFmt w:val="bullet"/>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67" Type="http://schemas.openxmlformats.org/officeDocument/2006/relationships/hyperlink" Target="https://www.sec.gov/Archives/edgar/data/1806201/000119312520169633/d941403dex31.htm" TargetMode="External"/><Relationship Id="rId68" Type="http://schemas.openxmlformats.org/officeDocument/2006/relationships/hyperlink" Target="https://www.sec.gov/Archives/edgar/data/1806201/000119312520169633/d941403dex32.htm" TargetMode="External"/><Relationship Id="rId69" Type="http://schemas.openxmlformats.org/officeDocument/2006/relationships/hyperlink" Target="https://www.sec.gov/Archives/edgar/data/1806201/000180620123000096/lpro-amendmenttotsaflyn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2023-11-08T07:29:15Z</dcterms:created>
  <dcterms:modified xsi:type="dcterms:W3CDTF">2023-11-08T07:29:15Z</dcterms:modified>
</cp:coreProperties>
</file>