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Open Lending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Adam H. Clammer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True Wind Capital Management, L.P., Four Embarcadero Center, Suite 2100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780-9975</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William Brentani,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LLP, 1 Market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251-5000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Nebula Holdings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7,545,144.00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True Wind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7,545,144.00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True Wind 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7,545,144.00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7,545,144.00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7,545,144.00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H. Greene,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7,545,144.00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spacing w:after="0" w:line="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Adam H. Clammer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4"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7,545,144.00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7,545,144.00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jc w:val="right"/>
        <w:ind w:right="68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74" w:orient="portrait"/>
          <w:cols w:equalWidth="0" w:num="1">
            <w:col w:w="10099"/>
          </w:cols>
          <w:pgMar w:left="360" w:top="355" w:right="1440"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Open Lending Corporation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1501 S. MoPac Expressway, Suite 450, Austin, TEXAS , 78746.</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No. 3") amends and supplements the Schedule 13D filed on November 18,</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2020, as amended by Amendment No. 1 filed on December 14, 2020, as amended by Amendment No. 2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April 6, 2021 (as so amended, the "Schedule 13D") by the Reporting Persons relating to the shares of common stock, par value $0.01 per share (the "Common Stock"), of Open Lending Corporation (the "Issuer"). The Item below amends and supplements the information disclosed under the corresponding Item of the Schedule 13D. Except as specifically provided herein, this Amendment No. 3 does not modify any of the information previously reported in the Schedule 13D. Capitalized terms used but not defined in this Amendment No. 3 shall have the same meanings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herein as are ascribed to such terms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The information set forth in or incorporated by reference in Item 6 of this Schedule 13D is hereby incorporated by reference in its entirety into this Item 4.</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Items 5(a)-(c) of this Schedule 13D are hereby amended and restated as follows: The information contained in rows 7, 8, 9, 10, 11 and 13 on each of the cover pages of this Schedule 13D and the information set forth or incorporated in Items 2, 3 and 6 of this Schedule 13D is hereby incorporated by reference in its entirety into this Item 5. Nebula</w:t>
      </w:r>
    </w:p>
    <w:p>
      <w:pPr>
        <w:spacing w:after="0" w:line="1" w:lineRule="exact"/>
        <w:rPr>
          <w:sz w:val="20"/>
          <w:szCs w:val="20"/>
          <w:color w:val="auto"/>
        </w:rPr>
      </w:pPr>
    </w:p>
    <w:p>
      <w:pPr>
        <w:ind w:left="920" w:right="4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Holdings holds 7,545,144 shares of the Issuer's Common Stock as of the date hereof. The percentages of beneficial ownership in this Schedule 13D are based on 118,217,082 shares of Common Stock issued and outstanding as of May 5, 2026 as described in the Issuer's Quarterly Report on Form 10-Q filed with the Securities and Exchange Commission on May 8, 2026. The information contained in rows 7 through 10 of each of the cover pages hereto is hereby incorporated by reference into this Item 5(a).</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right="240" w:firstLine="8"/>
        <w:spacing w:after="0" w:line="281"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have effected any transaction in the Issuer's Common Stock during the past 60 days. Item 6. Contracts, Arrangements, Understandings or Relationships With Respect to Securities of the Issuer</w:t>
      </w:r>
    </w:p>
    <w:p>
      <w:pPr>
        <w:spacing w:after="0" w:line="2" w:lineRule="exact"/>
        <w:rPr>
          <w:sz w:val="20"/>
          <w:szCs w:val="20"/>
          <w:color w:val="auto"/>
        </w:rPr>
      </w:pPr>
    </w:p>
    <w:p>
      <w:pPr>
        <w:ind w:left="920" w:right="60"/>
        <w:spacing w:after="0" w:line="231"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On June 15, 2026, the Issuer entered into an Agreement and Plan of Merger (the "Merger Agreement") with ANV Group Holdings Ltd. ("Parent"), and Lakers Acquisition Sub, Inc., an indirect wholly owned subsidiary of Parent ("Merger Sub"). Pursuant to the terms and conditions of the Merger Agreement, Merger Sub will commence a tender offer (as it may be extended, amended or supplemented from time to time, the "Offer") to purchase any and all of the issued and outstanding shares of Common Stock at a price of $3.15 per Share (the "Offer Price"), net to the holder thereof, in cash, without interest thereon and subject to reduction for any applicable tax withholding. Following the consummation of the Offer and subject to the terms and conditions of the Merger Agreement, Merger Sub will merge with and into the Issuer (the "Merger") in accordance with the Merger Agreement, and the Issuer will survive the Merger as an indirect wholly owned subsidiary of Parent. At the effective time of the Merger (the "Effective Time"), each share of Common Stock that is not tendered and accepted pursuant to the Offer (other than certain excluded shares) will be cancelled and automatically converted into the right to receive the Offer Price, net to the holder thereof, in cash, without interest thereon and subject to reduction for any applicable tax withholding. Tender and Support Agreement On June 15, 2026, concurrently with the execution and delivery of the Merger Agreement, Nebula Holdings, LLC entered into a Tender and Support Agreement with Parent and Merger Sub (the "Support Agreement"), pursuant to which Nebula Holdings, LLC agreed, among other things, (i) to validly tender all of its shares of Common Stock in the Offer, (ii) to vote its shares of Common Stock against any acquisition proposal and against any other action that would impede or delay the consummation of the Offer or the Merger, (iii) not to transfer, sell, assign, pledge, encumber or otherwise dispose of any of its shares of Common Stock (other than certain permitted transfers to affiliates or for estate planning purposes) or tender any shares of Common Stock into any competing tender or exchange offer, (iv) to waive any rights to demand appraisal of its shares of Common Stock under Section 262 of the DGCL, and (v) not to commence or participate in any proceeding against Parent, Merger Sub or the Issuer relating to the Merger Agreement or the transactions contemplated thereby. The Support Agreement will terminate upon the earlier of the valid termination of the Merger Agreement, the Effective Time, or certain amendments to the Merger Agreement that decrease the consideration or impose additional restrictions on payment. The foregoing description of the Support Agreement is qualified in its entirety by reference to the form of such agreement which is filed as an exhibit to this Schedule 13D and incorporated by reference herein.</w:t>
      </w:r>
    </w:p>
    <w:p>
      <w:pPr>
        <w:spacing w:after="0" w:line="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44"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D. Form of Tender and Support Agreement (incorporated by reference to Exhibit 10.1 to the Issuer's Current Report on Form 8-K filed on June 16, 2026).</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355" w:right="379" w:bottom="0" w:gutter="0" w:footer="0" w:header="0"/>
        </w:sectPr>
      </w:pPr>
    </w:p>
    <w:bookmarkStart w:id="6" w:name="page7"/>
    <w:bookmarkEnd w:id="6"/>
    <w:p>
      <w:pPr>
        <w:ind w:left="1040"/>
        <w:spacing w:after="0"/>
        <w:rPr>
          <w:sz w:val="20"/>
          <w:szCs w:val="20"/>
          <w:color w:val="auto"/>
        </w:rPr>
      </w:pPr>
      <w:r>
        <w:rPr>
          <w:rFonts w:ascii="Times New Roman" w:cs="Times New Roman" w:eastAsia="Times New Roman" w:hAnsi="Times New Roman"/>
          <w:sz w:val="22"/>
          <w:szCs w:val="22"/>
          <w:color w:val="auto"/>
        </w:rPr>
        <w:t>Nebula Holdings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H. Clammer</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Adam H. Clammer, Managing Member of True</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Wind Capital GP, LLC, general partner of True</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Wind Capital, L.P., its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True Wind Capital,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H. Clammer</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H. Clammer, Managing Member of True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Wind Capital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True Wind Capital GP, LLC</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H. Clammer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Adam H. Clammer, Managing Member</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James H. Greene, Jr.</w:t>
      </w:r>
    </w:p>
    <w:p>
      <w:pPr>
        <w:spacing w:after="0" w:line="152"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H. Greene, Jr.</w:t>
      </w:r>
    </w:p>
    <w:p>
      <w:pPr>
        <w:spacing w:after="0" w:line="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Name/Title: James H. Greene, Jr</w:t>
      </w:r>
    </w:p>
    <w:p>
      <w:pPr>
        <w:spacing w:after="0" w:line="44"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Adam H. Clammer</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H. Clammer</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Adam H. Clammer</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sectPr>
      <w:pgSz w:w="11900" w:h="16838" w:orient="portrait"/>
      <w:cols w:equalWidth="0" w:num="1">
        <w:col w:w="9760"/>
      </w:cols>
      <w:pgMar w:left="1440" w:top="23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2026-06-17T15:31:14Z</dcterms:created>
  <dcterms:modified xsi:type="dcterms:W3CDTF">2026-06-17T15:31:14Z</dcterms:modified>
</cp:coreProperties>
</file>