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20215.xml.htm"/>
      <w:bookmarkStart w:id="1" w:name="kswkform4_17854202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FELDSTEIN ERIC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OPEN LENDING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1501 S. MOPAC EXPRESSWAY,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 Lending Corp</w:t>
              </w:r>
            </w:hyperlink>
            <w:r>
              <w:rPr/>
              <w:t xml:space="preserve"> [ </w:t>
            </w:r>
            <w:r>
              <w:rPr>
                <w:rFonts w:ascii="Times;serif" w:hAnsi="Times;serif"/>
                <w:color w:val="0000FF"/>
                <w:sz w:val="24"/>
                <w:shd w:fill="FFFFFF" w:val="clear"/>
              </w:rPr>
              <w:t>LPRO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U</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122,686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tendered the shares of common stock in exchange for $3.15 per share in cash in the tender offer (the "Offer") made pursuant to the Agreement and Plan of Merger, dated as of June 15, 2026 (the "Merger Agreement"), among the Issuer, ANV Group Holdings Ltd. and Lakers Acquisition Sub, Inc.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 Massey,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1707" TargetMode="External"/><Relationship Id="rId5" Type="http://schemas.openxmlformats.org/officeDocument/2006/relationships/hyperlink" Target="http://www.sec.gov/cgi-bin/browse-edgar?action=getcompany&amp;CIK=00018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3367</Characters>
  <CharactersWithSpaces>3926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