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460" w:right="240" w:hanging="434"/>
        <w:spacing w:after="0" w:line="247"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1"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7" w:lineRule="exact"/>
        <w:rPr>
          <w:sz w:val="24"/>
          <w:szCs w:val="24"/>
          <w:color w:val="auto"/>
        </w:rPr>
      </w:pPr>
    </w:p>
    <w:tbl>
      <w:tblPr>
        <w:tblLayout w:type="fixed"/>
        <w:tblInd w:w="1460" w:type="dxa"/>
        <w:tblCellMar>
          <w:top w:w="0" w:type="dxa"/>
          <w:left w:w="0" w:type="dxa"/>
          <w:bottom w:w="0" w:type="dxa"/>
          <w:right w:w="0" w:type="dxa"/>
        </w:tblCellMar>
      </w:tblP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26"/>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500" w:type="dxa"/>
            <w:vAlign w:val="bottom"/>
          </w:tcPr>
          <w:p>
            <w:pPr>
              <w:jc w:val="center"/>
              <w:ind w:right="1738"/>
              <w:spacing w:after="0" w:line="183" w:lineRule="exact"/>
              <w:rPr>
                <w:sz w:val="20"/>
                <w:szCs w:val="20"/>
                <w:color w:val="auto"/>
              </w:rPr>
            </w:pPr>
            <w:r>
              <w:rPr>
                <w:rFonts w:ascii="Arial" w:cs="Arial" w:eastAsia="Arial" w:hAnsi="Arial"/>
                <w:sz w:val="18"/>
                <w:szCs w:val="18"/>
                <w:b w:val="1"/>
                <w:bCs w:val="1"/>
                <w:color w:val="auto"/>
              </w:rPr>
              <w:t>Suite 450</w:t>
            </w:r>
          </w:p>
        </w:tc>
        <w:tc>
          <w:tcPr>
            <w:tcW w:w="3040" w:type="dxa"/>
            <w:vAlign w:val="bottom"/>
            <w:vMerge w:val="restart"/>
          </w:tcPr>
          <w:p>
            <w:pPr>
              <w:jc w:val="right"/>
              <w:ind w:right="28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firstLine="486"/>
        <w:spacing w:after="0" w:line="28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84" w:lineRule="exact"/>
        <w:rPr>
          <w:sz w:val="24"/>
          <w:szCs w:val="24"/>
          <w:color w:val="auto"/>
        </w:rPr>
      </w:pPr>
    </w:p>
    <w:p>
      <w:pPr>
        <w:spacing w:after="0" w:line="207" w:lineRule="exact"/>
        <w:tabs>
          <w:tab w:leader="none" w:pos="9500" w:val="left"/>
          <w:tab w:leader="none" w:pos="10260" w:val="left"/>
        </w:tabs>
        <w:rPr>
          <w:sz w:val="20"/>
          <w:szCs w:val="20"/>
          <w:color w:val="auto"/>
        </w:rPr>
      </w:pPr>
      <w:r>
        <w:rPr>
          <w:rFonts w:ascii="Arial" w:cs="Arial" w:eastAsia="Arial" w:hAnsi="Arial"/>
          <w:sz w:val="18"/>
          <w:szCs w:val="18"/>
          <w:color w:val="auto"/>
        </w:rPr>
        <w:t>registrant was required to file such reports), and (2)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2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w:t>
      </w:r>
    </w:p>
    <w:p>
      <w:pPr>
        <w:spacing w:after="0" w:line="2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1311" w:right="339" w:bottom="49" w:gutter="0" w:footer="0" w:header="0"/>
        </w:sectPr>
      </w:pPr>
    </w:p>
    <w:bookmarkStart w:id="1" w:name="page2"/>
    <w:bookmarkEnd w:id="1"/>
    <w:p>
      <w:pPr>
        <w:ind w:firstLine="486"/>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0"/>
          <w:szCs w:val="20"/>
          <w:color w:val="auto"/>
        </w:rPr>
      </w:pPr>
    </w:p>
    <w:p>
      <w:pPr>
        <w:ind w:left="500" w:right="300"/>
        <w:spacing w:after="0" w:line="33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9, 2023, the registrant had 120,653,954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1057275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7"/>
        </w:trPr>
        <w:tc>
          <w:tcPr>
            <w:tcW w:w="20" w:type="dxa"/>
            <w:vAlign w:val="bottom"/>
          </w:tcPr>
          <w:p>
            <w:pPr>
              <w:spacing w:after="0"/>
              <w:rPr>
                <w:sz w:val="17"/>
                <w:szCs w:val="17"/>
                <w:color w:val="auto"/>
              </w:rPr>
            </w:pPr>
          </w:p>
        </w:tc>
        <w:tc>
          <w:tcPr>
            <w:tcW w:w="154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PART I.</w:t>
            </w:r>
          </w:p>
        </w:tc>
        <w:tc>
          <w:tcPr>
            <w:tcW w:w="8180" w:type="dxa"/>
            <w:vAlign w:val="bottom"/>
            <w:gridSpan w:val="18"/>
          </w:tcPr>
          <w:p>
            <w:pPr>
              <w:spacing w:after="0" w:line="197" w:lineRule="exact"/>
              <w:rPr>
                <w:sz w:val="20"/>
                <w:szCs w:val="20"/>
                <w:color w:val="auto"/>
              </w:rPr>
            </w:pPr>
            <w:r>
              <w:rPr>
                <w:rFonts w:ascii="Arial" w:cs="Arial" w:eastAsia="Arial" w:hAnsi="Arial"/>
                <w:sz w:val="18"/>
                <w:szCs w:val="18"/>
                <w:color w:val="0000FF"/>
              </w:rPr>
              <w:t>Financial Information</w:t>
            </w:r>
          </w:p>
        </w:tc>
        <w:tc>
          <w:tcPr>
            <w:tcW w:w="1500" w:type="dxa"/>
            <w:vAlign w:val="bottom"/>
          </w:tcPr>
          <w:p>
            <w:pPr>
              <w:jc w:val="right"/>
              <w:spacing w:after="0" w:line="197"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440" w:type="dxa"/>
            <w:vAlign w:val="bottom"/>
            <w:gridSpan w:val="5"/>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60" w:type="dxa"/>
            <w:vAlign w:val="bottom"/>
            <w:gridSpan w:val="2"/>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720" w:type="dxa"/>
            <w:vAlign w:val="bottom"/>
            <w:gridSpan w:val="3"/>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gridSpan w:val="6"/>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2"/>
                <w:szCs w:val="22"/>
                <w:color w:val="auto"/>
              </w:rPr>
            </w:pPr>
          </w:p>
        </w:tc>
        <w:tc>
          <w:tcPr>
            <w:tcW w:w="6200" w:type="dxa"/>
            <w:vAlign w:val="bottom"/>
            <w:gridSpan w:val="11"/>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6700" w:type="dxa"/>
            <w:vAlign w:val="bottom"/>
            <w:gridSpan w:val="14"/>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2380" w:type="dxa"/>
            <w:vAlign w:val="bottom"/>
            <w:tcBorders>
              <w:top w:val="single" w:sz="8" w:color="0000FF"/>
            </w:tcBorders>
            <w:gridSpan w:val="6"/>
          </w:tcPr>
          <w:p>
            <w:pPr>
              <w:spacing w:after="0"/>
              <w:rPr>
                <w:sz w:val="22"/>
                <w:szCs w:val="22"/>
                <w:color w:val="auto"/>
              </w:rPr>
            </w:pPr>
          </w:p>
        </w:tc>
        <w:tc>
          <w:tcPr>
            <w:tcW w:w="3340" w:type="dxa"/>
            <w:vAlign w:val="bottom"/>
            <w:gridSpan w:val="4"/>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2"/>
                <w:szCs w:val="22"/>
                <w:color w:val="auto"/>
              </w:rPr>
            </w:pPr>
          </w:p>
        </w:tc>
        <w:tc>
          <w:tcPr>
            <w:tcW w:w="6260" w:type="dxa"/>
            <w:vAlign w:val="bottom"/>
            <w:gridSpan w:val="12"/>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27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204,450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41,711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280,744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Contract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142,829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143,683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166,807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60"/>
              <w:spacing w:after="0" w:line="176" w:lineRule="exact"/>
              <w:rPr>
                <w:sz w:val="20"/>
                <w:szCs w:val="20"/>
                <w:color w:val="auto"/>
              </w:rPr>
            </w:pPr>
            <w:r>
              <w:rPr>
                <w:rFonts w:ascii="Arial" w:cs="Arial" w:eastAsia="Arial" w:hAnsi="Arial"/>
                <w:sz w:val="18"/>
                <w:szCs w:val="18"/>
                <w:color w:val="auto"/>
              </w:rPr>
              <w:t>Preferred stock, $0.01 par value; 10,000,000 shares authorized, none issued</w:t>
            </w:r>
          </w:p>
        </w:tc>
        <w:tc>
          <w:tcPr>
            <w:tcW w:w="300" w:type="dxa"/>
            <w:vAlign w:val="bottom"/>
          </w:tcPr>
          <w:p>
            <w:pPr>
              <w:spacing w:after="0"/>
              <w:rPr>
                <w:sz w:val="15"/>
                <w:szCs w:val="15"/>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30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$0.01 par value; 550,000,000 shares authorized, 128,198,185</w:t>
            </w: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issued and 120,591,873 shares outstanding as of March 31, 2023 and</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128,198,185 shares issued and 123,646,059 shares outstanding as of</w:t>
            </w: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500,530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(215,819)</w:t>
            </w:r>
          </w:p>
        </w:tc>
        <w:tc>
          <w:tcPr>
            <w:tcW w:w="0" w:type="dxa"/>
            <w:vAlign w:val="bottom"/>
          </w:tcPr>
          <w:p>
            <w:pPr>
              <w:spacing w:after="0"/>
              <w:rPr>
                <w:sz w:val="1"/>
                <w:szCs w:val="1"/>
                <w:color w:val="auto"/>
              </w:rPr>
            </w:pPr>
          </w:p>
        </w:tc>
      </w:tr>
      <w:tr>
        <w:trPr>
          <w:trHeight w:val="176"/>
        </w:trPr>
        <w:tc>
          <w:tcPr>
            <w:tcW w:w="6740" w:type="dxa"/>
            <w:vAlign w:val="bottom"/>
          </w:tcPr>
          <w:p>
            <w:pPr>
              <w:ind w:left="360"/>
              <w:spacing w:after="0" w:line="176" w:lineRule="exact"/>
              <w:rPr>
                <w:sz w:val="20"/>
                <w:szCs w:val="20"/>
                <w:color w:val="auto"/>
              </w:rPr>
            </w:pPr>
            <w:r>
              <w:rPr>
                <w:rFonts w:ascii="Arial" w:cs="Arial" w:eastAsia="Arial" w:hAnsi="Arial"/>
                <w:sz w:val="18"/>
                <w:szCs w:val="18"/>
                <w:color w:val="auto"/>
              </w:rPr>
              <w:t>Treasury stock at cost, 7,606,312 shares at March 31, 2023 and 4,552,126 at</w:t>
            </w:r>
          </w:p>
        </w:tc>
        <w:tc>
          <w:tcPr>
            <w:tcW w:w="3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(92,982)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(72,264)</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December 31, 2022</w:t>
            </w: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205,549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212,824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7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1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00" w:type="dxa"/>
            <w:vAlign w:val="bottom"/>
          </w:tcPr>
          <w:p>
            <w:pPr>
              <w:ind w:left="280"/>
              <w:spacing w:after="0"/>
              <w:rPr>
                <w:sz w:val="20"/>
                <w:szCs w:val="20"/>
                <w:color w:val="auto"/>
              </w:rPr>
            </w:pPr>
            <w:r>
              <w:rPr>
                <w:rFonts w:ascii="Arial" w:cs="Arial" w:eastAsia="Arial" w:hAnsi="Arial"/>
                <w:sz w:val="18"/>
                <w:szCs w:val="18"/>
                <w:color w:val="auto"/>
              </w:rPr>
              <w:t>Profit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18,602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28,310</w:t>
            </w:r>
          </w:p>
        </w:tc>
      </w:tr>
      <w:tr>
        <w:trPr>
          <w:trHeight w:val="230"/>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Program fees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r>
      <w:tr>
        <w:trPr>
          <w:trHeight w:val="229"/>
        </w:trPr>
        <w:tc>
          <w:tcPr>
            <w:tcW w:w="7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Claims administration and other service fees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r>
      <w:tr>
        <w:trPr>
          <w:trHeight w:val="223"/>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r>
      <w:tr>
        <w:trPr>
          <w:trHeight w:val="230"/>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r>
      <w:tr>
        <w:trPr>
          <w:trHeight w:val="223"/>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45,280</w:t>
            </w: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r>
      <w:tr>
        <w:trPr>
          <w:trHeight w:val="230"/>
        </w:trPr>
        <w:tc>
          <w:tcPr>
            <w:tcW w:w="7500" w:type="dxa"/>
            <w:vAlign w:val="bottom"/>
          </w:tcPr>
          <w:p>
            <w:pPr>
              <w:ind w:left="2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3,733</w:t>
            </w:r>
          </w:p>
        </w:tc>
      </w:tr>
      <w:tr>
        <w:trPr>
          <w:trHeight w:val="229"/>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23"/>
        </w:trPr>
        <w:tc>
          <w:tcPr>
            <w:tcW w:w="7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13,038</w:t>
            </w:r>
          </w:p>
        </w:tc>
      </w:tr>
      <w:tr>
        <w:trPr>
          <w:trHeight w:val="223"/>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32,242</w:t>
            </w:r>
          </w:p>
        </w:tc>
      </w:tr>
      <w:tr>
        <w:trPr>
          <w:trHeight w:val="229"/>
        </w:trPr>
        <w:tc>
          <w:tcPr>
            <w:tcW w:w="7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16,773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31,464</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7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common share</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123,122,014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126,215,698</w:t>
            </w:r>
          </w:p>
        </w:tc>
      </w:tr>
      <w:tr>
        <w:trPr>
          <w:trHeight w:val="239"/>
        </w:trPr>
        <w:tc>
          <w:tcPr>
            <w:tcW w:w="75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123,424,322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126,216,197</w:t>
            </w: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(215,819)</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(4,552,126)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(72,264)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Restricted stock units issued, net of</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Shares repurchased, including excise tax</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(21,528)</w:t>
            </w: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2023</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500,530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(203,281)</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(7,606,312)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(92,982)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205,549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line="290" w:lineRule="auto"/>
        <w:rPr>
          <w:sz w:val="20"/>
          <w:szCs w:val="20"/>
          <w:color w:val="auto"/>
        </w:rPr>
      </w:pPr>
      <w:r>
        <w:rPr>
          <w:rFonts w:ascii="Arial" w:cs="Arial" w:eastAsia="Arial" w:hAnsi="Arial"/>
          <w:sz w:val="16"/>
          <w:szCs w:val="16"/>
          <w:b w:val="1"/>
          <w:bCs w:val="1"/>
          <w:color w:val="auto"/>
        </w:rPr>
        <w:t xml:space="preserve">Balance as of December 31, 2021 </w:t>
      </w:r>
      <w:r>
        <w:rPr>
          <w:rFonts w:ascii="Arial" w:cs="Arial" w:eastAsia="Arial" w:hAnsi="Arial"/>
          <w:sz w:val="16"/>
          <w:szCs w:val="16"/>
          <w:color w:val="auto"/>
        </w:rPr>
        <w:t>Share-based compensation</w:t>
      </w:r>
    </w:p>
    <w:p>
      <w:pPr>
        <w:spacing w:after="0" w:line="1"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0"/>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496,983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(282,439)</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(1,985,309)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(56,844)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158,982</w:t>
            </w:r>
          </w:p>
        </w:tc>
        <w:tc>
          <w:tcPr>
            <w:tcW w:w="0" w:type="dxa"/>
            <w:vAlign w:val="bottom"/>
          </w:tcPr>
          <w:p>
            <w:pPr>
              <w:spacing w:after="0"/>
              <w:rPr>
                <w:sz w:val="1"/>
                <w:szCs w:val="1"/>
                <w:color w:val="auto"/>
              </w:rPr>
            </w:pPr>
          </w:p>
        </w:tc>
      </w:tr>
      <w:tr>
        <w:trPr>
          <w:trHeight w:val="21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-469265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-186690</wp:posOffset>
            </wp:positionV>
            <wp:extent cx="711517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580" w:space="560"/>
            <w:col w:w="80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23,154</w:t>
            </w:r>
          </w:p>
        </w:tc>
        <w:tc>
          <w:tcPr>
            <w:tcW w:w="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23,154</w:t>
            </w:r>
          </w:p>
        </w:tc>
      </w:tr>
      <w:tr>
        <w:trPr>
          <w:trHeight w:val="235"/>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498,057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(259,285)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(1,980,230)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183,378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12,538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23,154</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property and equipment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2"/>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4"/>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 net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 net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31,932</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property and equipment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term loans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5"/>
        </w:trPr>
        <w:tc>
          <w:tcPr>
            <w:tcW w:w="758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(22,390)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30,926</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119,509</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215,302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150,435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Income tax paid (refunded),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8,501</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Share-based compensation for capitalized software development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accrued but not paid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flagship product, Lenders Protection Platform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rate. LPP generates a risk-based, all-inclusive interest rate for a loan that is customized to each automotive lender, reflecting cost of capital, loan servicing and acquisition costs, expected recovery rates and target return on assets.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completed a business combination pursuant to that certain Business Combination Agreement by and among Nebula, Open Lending, LLC, BRP Hold 11, Inc. (the “Blocker”), the Blocker’s sole stockholder, Nebula Parent Corp., NBLA Merger Sub LLC, NBLA Merger Sub Corp. and Shareholder Representative Services LLC, as the security holder representative, each as defined in the Business Combination Agreement (the “Business Combination”).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 to Open Lending, LLC and Nebula Acquisition Corporation, respectively, prior to the Closing Date.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2022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months ended March 31, 2023 are not necessarily indicative of the Company’s operating results for the entire fiscal year ending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two largest insurance carrier partners accounted for 33% and 12% of the Company’s total revenue during the three months ended March 31, 2023 and accounted for 38% and 14% of the Company's total revenue during the three months ended March 31, 2022.</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less than $0.1 million at March 31, 2023 and December 31, 2022.</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2023 and December 31, 2022, the Company had one customer that individually accounted for 12% of the Company’s accounts receivable.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align the default and prepayment rate projections with actual experience.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within Topic 848</w:t>
      </w:r>
      <w:r>
        <w:rPr>
          <w:rFonts w:ascii="Arial" w:cs="Arial" w:eastAsia="Arial" w:hAnsi="Arial"/>
          <w:sz w:val="18"/>
          <w:szCs w:val="18"/>
          <w:color w:val="auto"/>
        </w:rPr>
        <w:t xml:space="preserve">,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the London Inter-bank Offered Rate (“LIBOR”) or another reference rate expected to be discontinued due to reference rate reform. The amendments in this update were effective upon issuance and may be applied prospectively to contract modifications made and hedging relationships entered into or evaluated on or before December 31, 2022. The Company has experienced no unintended outcomes or consequences of reference rate reform that would necessitate the adoption of this guidance. As such, the Company has considered this guidance in relation to its existing Credit Agreement, as defined in </w:t>
      </w:r>
      <w:r>
        <w:rPr>
          <w:rFonts w:ascii="Arial" w:cs="Arial" w:eastAsia="Arial" w:hAnsi="Arial"/>
          <w:sz w:val="18"/>
          <w:szCs w:val="18"/>
          <w:u w:val="single" w:color="auto"/>
          <w:color w:val="0000FF"/>
        </w:rPr>
        <w:t>Note 4—Debt</w:t>
      </w:r>
      <w:r>
        <w:rPr>
          <w:rFonts w:ascii="Arial" w:cs="Arial" w:eastAsia="Arial" w:hAnsi="Arial"/>
          <w:sz w:val="18"/>
          <w:szCs w:val="18"/>
          <w:color w:val="auto"/>
        </w:rPr>
        <w:t xml:space="preserve"> and determined that it is not applicable (refer to the Credit Agreement discussion within </w:t>
      </w:r>
      <w:r>
        <w:rPr>
          <w:rFonts w:ascii="Arial" w:cs="Arial" w:eastAsia="Arial" w:hAnsi="Arial"/>
          <w:sz w:val="18"/>
          <w:szCs w:val="18"/>
          <w:u w:val="single" w:color="auto"/>
          <w:color w:val="0000FF"/>
        </w:rPr>
        <w:t>Note 4—Debt</w:t>
      </w:r>
      <w:r>
        <w:rPr>
          <w:rFonts w:ascii="Arial" w:cs="Arial" w:eastAsia="Arial" w:hAnsi="Arial"/>
          <w:sz w:val="18"/>
          <w:szCs w:val="18"/>
          <w:color w:val="auto"/>
        </w:rPr>
        <w: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months ended March 31, 2023 and 2022, contract asset adjustments attributable to profit share revenue forecast adjustments resulted in an increase of $0.7 million and $2.6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Contract Assets</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188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rPr>
              <w:t>Claims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250"/>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2022</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65,889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7,932</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1,609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75,430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w:t>
            </w: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from performance obligations satisfied in previous periods</w:t>
            </w: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w:t>
            </w:r>
          </w:p>
        </w:tc>
        <w:tc>
          <w:tcPr>
            <w:tcW w:w="2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lending institutions</w:t>
            </w:r>
          </w:p>
        </w:tc>
        <w:tc>
          <w:tcPr>
            <w:tcW w:w="26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(30,310)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March 31, 2023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65,942</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6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2023 and December 31, 2022, the Company’s contract assets consisted of $41.7 million and $54.4 million, respectively, as the portion estimated to be received within one year and $24.2 million and $21.0 million, respectively, as the non-current portion to be received beyond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6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320" w:type="dxa"/>
            <w:vAlign w:val="bottom"/>
            <w:gridSpan w:val="4"/>
            <w:shd w:val="clear" w:color="auto" w:fill="CCEEFF"/>
          </w:tcPr>
          <w:p>
            <w:pPr>
              <w:jc w:val="right"/>
              <w:ind w:right="1710"/>
              <w:spacing w:after="0"/>
              <w:rPr>
                <w:sz w:val="20"/>
                <w:szCs w:val="20"/>
                <w:color w:val="auto"/>
              </w:rPr>
            </w:pPr>
            <w:r>
              <w:rPr>
                <w:rFonts w:ascii="Arial" w:cs="Arial" w:eastAsia="Arial" w:hAnsi="Arial"/>
                <w:sz w:val="16"/>
                <w:szCs w:val="16"/>
                <w:i w:val="1"/>
                <w:iCs w:val="1"/>
                <w:color w:val="auto"/>
              </w:rPr>
              <w:t>(in thousands)</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148,125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149,063</w:t>
            </w:r>
          </w:p>
        </w:tc>
      </w:tr>
      <w:tr>
        <w:trPr>
          <w:trHeight w:val="23"/>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3"/>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147,433</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3"/>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142,829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143,683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9, 2022, the Company entered into a First Amendment to its existing Credit Agreement (“First Amendment”) with Wells Fargo Bank, N.A., as the administrative agent, and the financial institutions party thereto, as the lenders. The First Amendment provided the Company senior secured credit facilities in an aggregate principal amount of $300.0 million, which (i) established a term loan due 2027 with a principal amount of $150.0 million (the “Term Loan due 2027”), and (ii) increased the borrowing capacity on the existing revolving credit facility to $150.0 million (the “Revolving Credit Facility”), both scheduled to mature on September 9, 2027 (collectively, the “Credit Agreement”).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0.150%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2023, the Credit Agreement was subject to an Adjusted SOFR rate of 4.776% plus a spread of 1.625% per annum. Commitment fees were accrued at 0.150% under the Revolving Credit Facility’s unused commitment balance of $150.0 million as of March 31, 2023. As of March 31, 2023, the effective interest rate on the Company’s outstanding borrowings was 6.647%.</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$1.5 million and $0.3 million, respectively, as of March 31, 2023.</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3.5:1 for any fiscal quarter ending on or prior to June 30, 2024 and then decreases to 3.0:1 for any fiscal quarter ending after June 30, 2024. The minimum fixed charge coverage ratio is 1.25:1. As of March 31, 2023, the Company was in compliance with all required covenants under the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2023 and 2022, the Company recognized income tax expense of $4.2 million and $8.3 million, respectively, resulting in effective tax rates of 25.2% and 26.5%, respectively. The Company’s income tax expense for the three months ended March 31, 2023 and March 31, 2022 differs from amounts computed by applying the U.S. federal statutory tax rate of 21% primarily due to state income tax expenses and the officer’s compensation limitation under Section 162m.</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March 31, 2023.</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2023, the Company changed its policy to recognize interest and penalties related to income taxes as a component of income tax expense to better align the classification with the substance of the associated transactions. This accounting policy change has no impact to net income or basic and diluted earnings per share, or to the unaudited Condensed Consolidated Statements of Operations, for any previous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months ended March 31, 2023 and 2022 include unvested and unexercised stock options and unvested time-based restricted stock units. The potentially dilutive common shares during the same periods did not include performance-based restricted stock units because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months ended March 31, 2023 and 2022:</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29"/>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37"/>
        </w:trPr>
        <w:tc>
          <w:tcPr>
            <w:tcW w:w="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3700" w:type="dxa"/>
            <w:vAlign w:val="bottom"/>
            <w:gridSpan w:val="5"/>
            <w:shd w:val="clear" w:color="auto" w:fill="CCEEFF"/>
          </w:tcPr>
          <w:p>
            <w:pPr>
              <w:jc w:val="right"/>
              <w:ind w:right="10"/>
              <w:spacing w:after="0"/>
              <w:rPr>
                <w:sz w:val="20"/>
                <w:szCs w:val="20"/>
                <w:color w:val="auto"/>
              </w:rPr>
            </w:pPr>
            <w:r>
              <w:rPr>
                <w:rFonts w:ascii="Arial" w:cs="Arial" w:eastAsia="Arial" w:hAnsi="Arial"/>
                <w:sz w:val="16"/>
                <w:szCs w:val="16"/>
                <w:i w:val="1"/>
                <w:iCs w:val="1"/>
                <w:color w:val="auto"/>
              </w:rPr>
              <w:t>(in thousands, except shares and per share data)</w:t>
            </w:r>
          </w:p>
        </w:tc>
      </w:tr>
      <w:tr>
        <w:trPr>
          <w:trHeight w:val="203"/>
        </w:trPr>
        <w:tc>
          <w:tcPr>
            <w:tcW w:w="74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7460" w:type="dxa"/>
            <w:vAlign w:val="bottom"/>
            <w:gridSpan w:val="3"/>
          </w:tcPr>
          <w:p>
            <w:pPr>
              <w:ind w:left="48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12,538</w:t>
            </w:r>
          </w:p>
        </w:tc>
        <w:tc>
          <w:tcPr>
            <w:tcW w:w="1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23,154</w:t>
            </w:r>
          </w:p>
        </w:tc>
      </w:tr>
      <w:tr>
        <w:trPr>
          <w:trHeight w:val="278"/>
        </w:trPr>
        <w:tc>
          <w:tcPr>
            <w:tcW w:w="20" w:type="dxa"/>
            <w:vAlign w:val="bottom"/>
            <w:shd w:val="clear" w:color="auto" w:fill="CCEEFF"/>
          </w:tcPr>
          <w:p>
            <w:pPr>
              <w:spacing w:after="0"/>
              <w:rPr>
                <w:sz w:val="24"/>
                <w:szCs w:val="24"/>
                <w:color w:val="auto"/>
              </w:rPr>
            </w:pPr>
          </w:p>
        </w:tc>
        <w:tc>
          <w:tcPr>
            <w:tcW w:w="74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746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123,122,014</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126,215,698</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7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74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49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4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23,154</w:t>
            </w:r>
          </w:p>
        </w:tc>
      </w:tr>
      <w:tr>
        <w:trPr>
          <w:trHeight w:val="263"/>
        </w:trPr>
        <w:tc>
          <w:tcPr>
            <w:tcW w:w="20" w:type="dxa"/>
            <w:vAlign w:val="bottom"/>
          </w:tcPr>
          <w:p>
            <w:pPr>
              <w:spacing w:after="0"/>
              <w:rPr>
                <w:sz w:val="22"/>
                <w:szCs w:val="22"/>
                <w:color w:val="auto"/>
              </w:rPr>
            </w:pPr>
          </w:p>
        </w:tc>
        <w:tc>
          <w:tcPr>
            <w:tcW w:w="7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4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Basic weighted-average common shares outstanding</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123,122,014</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126,215,698</w:t>
            </w:r>
          </w:p>
        </w:tc>
      </w:tr>
      <w:tr>
        <w:trPr>
          <w:trHeight w:val="270"/>
        </w:trPr>
        <w:tc>
          <w:tcPr>
            <w:tcW w:w="20" w:type="dxa"/>
            <w:vAlign w:val="bottom"/>
            <w:tcBorders>
              <w:bottom w:val="single" w:sz="8" w:color="CCEEFF"/>
            </w:tcBorders>
          </w:tcPr>
          <w:p>
            <w:pPr>
              <w:spacing w:after="0"/>
              <w:rPr>
                <w:sz w:val="23"/>
                <w:szCs w:val="23"/>
                <w:color w:val="auto"/>
              </w:rPr>
            </w:pPr>
          </w:p>
        </w:tc>
        <w:tc>
          <w:tcPr>
            <w:tcW w:w="746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Dilutive effect of time-based restricted stock units outstanding</w:t>
            </w: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302,308</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r>
      <w:tr>
        <w:trPr>
          <w:trHeight w:val="250"/>
        </w:trPr>
        <w:tc>
          <w:tcPr>
            <w:tcW w:w="20" w:type="dxa"/>
            <w:vAlign w:val="bottom"/>
            <w:shd w:val="clear" w:color="auto" w:fill="CCEEFF"/>
          </w:tcPr>
          <w:p>
            <w:pPr>
              <w:spacing w:after="0"/>
              <w:rPr>
                <w:sz w:val="21"/>
                <w:szCs w:val="21"/>
                <w:color w:val="auto"/>
              </w:rPr>
            </w:pPr>
          </w:p>
        </w:tc>
        <w:tc>
          <w:tcPr>
            <w:tcW w:w="74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123,424,322</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126,216,197</w:t>
            </w:r>
          </w:p>
        </w:tc>
      </w:tr>
      <w:tr>
        <w:trPr>
          <w:trHeight w:val="264"/>
        </w:trPr>
        <w:tc>
          <w:tcPr>
            <w:tcW w:w="20" w:type="dxa"/>
            <w:vAlign w:val="bottom"/>
          </w:tcPr>
          <w:p>
            <w:pPr>
              <w:spacing w:after="0"/>
              <w:rPr>
                <w:sz w:val="22"/>
                <w:szCs w:val="22"/>
                <w:color w:val="auto"/>
              </w:rPr>
            </w:pPr>
          </w:p>
        </w:tc>
        <w:tc>
          <w:tcPr>
            <w:tcW w:w="7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14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0.18</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outstanding securities as of March 31, 2023 and 2022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20" w:type="dxa"/>
            <w:vAlign w:val="bottom"/>
          </w:tcPr>
          <w:p>
            <w:pPr>
              <w:spacing w:after="0"/>
              <w:rPr>
                <w:sz w:val="20"/>
                <w:szCs w:val="20"/>
                <w:color w:val="auto"/>
              </w:rPr>
            </w:pPr>
          </w:p>
        </w:tc>
        <w:tc>
          <w:tcPr>
            <w:tcW w:w="36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760" w:type="dxa"/>
            <w:vAlign w:val="bottom"/>
          </w:tcPr>
          <w:p>
            <w:pPr>
              <w:jc w:val="right"/>
              <w:spacing w:after="0"/>
              <w:rPr>
                <w:sz w:val="20"/>
                <w:szCs w:val="20"/>
                <w:color w:val="auto"/>
              </w:rPr>
            </w:pPr>
            <w:r>
              <w:rPr>
                <w:rFonts w:ascii="Arial" w:cs="Arial" w:eastAsia="Arial" w:hAnsi="Arial"/>
                <w:sz w:val="18"/>
                <w:szCs w:val="18"/>
                <w:color w:val="auto"/>
              </w:rPr>
              <w:t>362,751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459,431</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159,965</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678,613</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742,386</w:t>
            </w:r>
          </w:p>
        </w:tc>
      </w:tr>
      <w:tr>
        <w:trPr>
          <w:trHeight w:val="20"/>
        </w:trPr>
        <w:tc>
          <w:tcPr>
            <w:tcW w:w="7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9"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8"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 are subject to fair value adjustments whenever events or circumstances indicate the carrying value of the assets may not be recoverable and are subsequently written down to fair value when impaired. During the three months ended March 31, 2023 and 2022, the Company had no impairment charges related to its property and equipment or operating lease right-of-use asset.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1"/>
          </w:tcPr>
          <w:p>
            <w:pPr>
              <w:jc w:val="center"/>
              <w:ind w:right="290"/>
              <w:spacing w:after="0"/>
              <w:rPr>
                <w:sz w:val="20"/>
                <w:szCs w:val="20"/>
                <w:color w:val="auto"/>
              </w:rPr>
            </w:pPr>
            <w:r>
              <w:rPr>
                <w:rFonts w:ascii="Arial" w:cs="Arial" w:eastAsia="Arial" w:hAnsi="Arial"/>
                <w:sz w:val="18"/>
                <w:szCs w:val="18"/>
                <w:b w:val="1"/>
                <w:bCs w:val="1"/>
                <w:color w:val="auto"/>
                <w:w w:val="99"/>
              </w:rPr>
              <w:t>Fair value measurement as of March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left="1052"/>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4,955</w:t>
            </w:r>
          </w:p>
        </w:tc>
        <w:tc>
          <w:tcPr>
            <w:tcW w:w="20" w:type="dxa"/>
            <w:vAlign w:val="bottom"/>
          </w:tcPr>
          <w:p>
            <w:pPr>
              <w:spacing w:after="0"/>
              <w:rPr>
                <w:sz w:val="19"/>
                <w:szCs w:val="19"/>
                <w:color w:val="auto"/>
              </w:rPr>
            </w:pPr>
          </w:p>
        </w:tc>
        <w:tc>
          <w:tcPr>
            <w:tcW w:w="70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11"/>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 as of December 31, 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left="1072"/>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35,915</w:t>
            </w:r>
          </w:p>
        </w:tc>
        <w:tc>
          <w:tcPr>
            <w:tcW w:w="20" w:type="dxa"/>
            <w:vAlign w:val="bottom"/>
          </w:tcPr>
          <w:p>
            <w:pPr>
              <w:spacing w:after="0"/>
              <w:rPr>
                <w:sz w:val="19"/>
                <w:szCs w:val="19"/>
                <w:color w:val="auto"/>
              </w:rPr>
            </w:pPr>
          </w:p>
        </w:tc>
        <w:tc>
          <w:tcPr>
            <w:tcW w:w="700" w:type="dxa"/>
            <w:vAlign w:val="bottom"/>
            <w:gridSpan w:val="3"/>
          </w:tcPr>
          <w:p>
            <w:pPr>
              <w:jc w:val="center"/>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146,579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March 31, 2023 and December 31, 2022 plus an applicable spread, a Level 2 classification in the fair value hierarchy.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March 31, 2023 and December 31,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7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associated with our growth as a result of demands on our operational, marketing, compliance and accounting infrastructure;</w:t>
      </w:r>
    </w:p>
    <w:p>
      <w:pPr>
        <w:spacing w:after="0" w:line="44"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 and</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ongoing coronavirus (“COVID-19”) pandemic on our business.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$19.2 billion in automotive loans, accumulated more than 20 years of proprietary data and developed over two million unique risk profiles. We currently serve 437 active lenders.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product,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generates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certain parties in our ecosystem.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2% of this market, providing a significant growth opportunity. In addition, our market opportunity related to the refinancing of near-prime and non-prime automotive loans is estimated at $40 billion annually.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facilitated 32,408 certified loans during the three months ended March 31, 2023, as compared to 43,944 certified loans during the three months ended March 31, 2022.</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revenue was $38.4 million for the three months ended March 31, 2023, as compared to $50.1 million during the three months ended March 31, 2022.</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was $17.1 million for the three months ended March 31, 2023, as compared to $32.2 million in the three months ended March 31, 2022.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income was $12.5 million for the three months ended March 31, 2023, as compared to net income of $23.2 million for the three months ended March 31, 2022.</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Adjusted EBITDA was $21.2 million for the three months ended March 31, 2023, as compared to $ 33.8 million during the three months ended March 31, 2022.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months ended March 31, 2023 and 2022.</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6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Certified loans</w:t>
            </w: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43,944</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Value of insured loans facilitated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951,893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1,182,567</w:t>
            </w:r>
          </w:p>
        </w:tc>
      </w:tr>
      <w:tr>
        <w:trPr>
          <w:trHeight w:val="22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Average loan size per certified loan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r>
      <w:tr>
        <w:trPr>
          <w:trHeight w:val="239"/>
        </w:trPr>
        <w:tc>
          <w:tcPr>
            <w:tcW w:w="7540" w:type="dxa"/>
            <w:vAlign w:val="bottom"/>
          </w:tcPr>
          <w:p>
            <w:pPr>
              <w:spacing w:after="0"/>
              <w:rPr>
                <w:sz w:val="20"/>
                <w:szCs w:val="20"/>
                <w:color w:val="auto"/>
              </w:rPr>
            </w:pPr>
            <w:r>
              <w:rPr>
                <w:rFonts w:ascii="Arial" w:cs="Arial" w:eastAsia="Arial" w:hAnsi="Arial"/>
                <w:sz w:val="18"/>
                <w:szCs w:val="18"/>
                <w:color w:val="auto"/>
              </w:rPr>
              <w:t>Number of contracts signed with automotive lenders</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Historically, we have defined “active lenders” as lenders who certify at least one loan during the preceding 12 months. As of March 31, 2023 and 2022, we had 437 and 411 active lenders, respectively. The table below represents lender count information for lenders with certified loan activity during the periods indicated.</w:t>
      </w:r>
    </w:p>
    <w:p>
      <w:pPr>
        <w:spacing w:after="0" w:line="238"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Lenders certifying loans at beginning of period </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(3)</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7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56" w:lineRule="auto"/>
        <w:tabs>
          <w:tab w:leader="none" w:pos="257" w:val="left"/>
        </w:tabs>
        <w:numPr>
          <w:ilvl w:val="0"/>
          <w:numId w:val="5"/>
        </w:numPr>
        <w:rPr>
          <w:rFonts w:ascii="Arial" w:cs="Arial" w:eastAsia="Arial" w:hAnsi="Arial"/>
          <w:sz w:val="16"/>
          <w:szCs w:val="16"/>
          <w:color w:val="auto"/>
        </w:rPr>
      </w:pPr>
      <w:r>
        <w:rPr>
          <w:rFonts w:ascii="Arial" w:cs="Arial" w:eastAsia="Arial" w:hAnsi="Arial"/>
          <w:sz w:val="16"/>
          <w:szCs w:val="16"/>
          <w:color w:val="auto"/>
        </w:rPr>
        <w:t>Lenders certifying loans at the beginning of the period represents lenders who certified loans during the three months ended December 31, 2022 and 2021, respectively.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14" w:lineRule="exact"/>
        <w:rPr>
          <w:rFonts w:ascii="Arial" w:cs="Arial" w:eastAsia="Arial" w:hAnsi="Arial"/>
          <w:sz w:val="16"/>
          <w:szCs w:val="16"/>
          <w:color w:val="auto"/>
        </w:rPr>
      </w:pPr>
    </w:p>
    <w:p>
      <w:pPr>
        <w:ind w:right="540" w:firstLine="8"/>
        <w:spacing w:after="0" w:line="270"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and using LPP to certify loans during the period. Certain lenders experience periods of inactivity followed by periods of activity, causing the lender count to fluctuate from period to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insured loans.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$81.8 million and $59.5 million, respectively, for the three months ended March 31, 2023 and 2022,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It influences the number of loans funded on LPP, thus the fees we earn and the cost of the services that we provide. Growth in our active automotive lender relationships will depend on our ability to retain existing automotive lenders and add new ones.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results of operations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inflation, rising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16, 2022, the U.S. government enacted the Inflation Reduction Act of 2022 which includes, among other provisions, changes to the U.S. corporate income tax system, including a 15% minimum tax based on “adjusted financial statement income” exceeding $1 billion and a 1% excise tax on net repurchases of stock after December 31,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two largest insurance carrier partners accounted for 33% and 12% of our total revenue during the three months ended March 31, 2023 and accounted for 38% and 14% of our total revenue during the three months ended March 31, 2022. Termination or disruption of these relationships could materially and adversely impact our revenue. See “</w:t>
      </w:r>
      <w:r>
        <w:rPr>
          <w:rFonts w:ascii="Arial" w:cs="Arial" w:eastAsia="Arial" w:hAnsi="Arial"/>
          <w:sz w:val="18"/>
          <w:szCs w:val="18"/>
          <w:i w:val="1"/>
          <w:iCs w:val="1"/>
          <w:color w:val="auto"/>
        </w:rPr>
        <w:t>Item 1A—Risk Factors—Risks Related to Our Business—If we lose</w:t>
      </w:r>
      <w:r>
        <w:rPr>
          <w:rFonts w:ascii="Arial" w:cs="Arial" w:eastAsia="Arial" w:hAnsi="Arial"/>
          <w:sz w:val="18"/>
          <w:szCs w:val="18"/>
          <w:color w:val="auto"/>
        </w:rPr>
        <w:t xml:space="preserve"> </w:t>
      </w:r>
      <w:r>
        <w:rPr>
          <w:rFonts w:ascii="Arial" w:cs="Arial" w:eastAsia="Arial" w:hAnsi="Arial"/>
          <w:sz w:val="18"/>
          <w:szCs w:val="18"/>
          <w:i w:val="1"/>
          <w:iCs w:val="1"/>
          <w:color w:val="auto"/>
        </w:rPr>
        <w:t>one or more of our insurance carriers and are unable to replace their commitments, it could have a material adverse effect on our business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our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automotive lenders and (iii) claims administration service fees paid to us by insurance partners.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typically capped at $600 per loan or calculated as a percentage of the funded loan amount. For monthly-pay loans, the fee paid by the lender is 3% of the initial amount of the loan and is not capped.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adjudication services performed by our subsidiary Insurance Administrative Services, LLC on its insured servicing portfolio. The administration fee is equal to 3% of the monthly insurance earned premium for as long as the loan remains outstanding.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increase as a result of our headcount growth.</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increase as a percentage of our program fee revenue in the near term as we focus on our go-to-market strategy.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employees engaged in ongoing research and development of our software technology platform. We generally expect our research and development expenses to remain constant in the near term.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2023 and 2022:</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54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Three Months Ended March 31,</w:t>
            </w:r>
          </w:p>
        </w:tc>
        <w:tc>
          <w:tcPr>
            <w:tcW w:w="1440" w:type="dxa"/>
            <w:vAlign w:val="bottom"/>
            <w:tcBorders>
              <w:bottom w:val="single" w:sz="8" w:color="auto"/>
            </w:tcBorders>
          </w:tcPr>
          <w:p>
            <w:pPr>
              <w:spacing w:after="0"/>
              <w:rPr>
                <w:sz w:val="22"/>
                <w:szCs w:val="22"/>
                <w:color w:val="auto"/>
              </w:rPr>
            </w:pPr>
          </w:p>
        </w:tc>
      </w:tr>
      <w:tr>
        <w:trPr>
          <w:trHeight w:val="263"/>
        </w:trPr>
        <w:tc>
          <w:tcPr>
            <w:tcW w:w="54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35"/>
        </w:trPr>
        <w:tc>
          <w:tcPr>
            <w:tcW w:w="5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 in thousands)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8"/>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7"/>
        </w:trPr>
        <w:tc>
          <w:tcPr>
            <w:tcW w:w="5400" w:type="dxa"/>
            <w:vAlign w:val="bottom"/>
          </w:tcPr>
          <w:p>
            <w:pPr>
              <w:ind w:left="340"/>
              <w:spacing w:after="0"/>
              <w:rPr>
                <w:sz w:val="20"/>
                <w:szCs w:val="20"/>
                <w:color w:val="auto"/>
              </w:rPr>
            </w:pPr>
            <w:r>
              <w:rPr>
                <w:rFonts w:ascii="Arial" w:cs="Arial" w:eastAsia="Arial" w:hAnsi="Arial"/>
                <w:sz w:val="18"/>
                <w:szCs w:val="18"/>
                <w:color w:val="auto"/>
              </w:rPr>
              <w:t>Profit share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28,310</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Program fees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5400" w:type="dxa"/>
            <w:vAlign w:val="bottom"/>
          </w:tcPr>
          <w:p>
            <w:pPr>
              <w:ind w:left="340"/>
              <w:spacing w:after="0"/>
              <w:rPr>
                <w:sz w:val="20"/>
                <w:szCs w:val="20"/>
                <w:color w:val="auto"/>
              </w:rPr>
            </w:pPr>
            <w:r>
              <w:rPr>
                <w:rFonts w:ascii="Arial" w:cs="Arial" w:eastAsia="Arial" w:hAnsi="Arial"/>
                <w:sz w:val="18"/>
                <w:szCs w:val="18"/>
                <w:color w:val="auto"/>
              </w:rPr>
              <w:t>Claims administration and other service fees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
        </w:trPr>
        <w:tc>
          <w:tcPr>
            <w:tcW w:w="5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services</w:t>
            </w:r>
          </w:p>
        </w:tc>
        <w:tc>
          <w:tcPr>
            <w:tcW w:w="10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45,280</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63"/>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8"/>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7"/>
        </w:trPr>
        <w:tc>
          <w:tcPr>
            <w:tcW w:w="540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3,733</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5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15,834</w:t>
            </w:r>
          </w:p>
        </w:tc>
        <w:tc>
          <w:tcPr>
            <w:tcW w:w="1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13,038</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21 %</w:t>
            </w: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32,242</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47"/>
        </w:trPr>
        <w:tc>
          <w:tcPr>
            <w:tcW w:w="54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3"/>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8156 %</w:t>
            </w:r>
          </w:p>
        </w:tc>
      </w:tr>
      <w:tr>
        <w:trPr>
          <w:trHeight w:val="256"/>
        </w:trPr>
        <w:tc>
          <w:tcPr>
            <w:tcW w:w="54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16,773</w:t>
            </w: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31,464</w:t>
            </w:r>
          </w:p>
        </w:tc>
        <w:tc>
          <w:tcPr>
            <w:tcW w:w="1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r>
        <w:trPr>
          <w:trHeight w:val="271"/>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12,538</w:t>
            </w:r>
          </w:p>
        </w:tc>
        <w:tc>
          <w:tcPr>
            <w:tcW w:w="100" w:type="dxa"/>
            <w:vAlign w:val="bottom"/>
          </w:tcPr>
          <w:p>
            <w:pPr>
              <w:spacing w:after="0"/>
              <w:rPr>
                <w:sz w:val="23"/>
                <w:szCs w:val="23"/>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23,154</w:t>
            </w:r>
          </w:p>
        </w:tc>
        <w:tc>
          <w:tcPr>
            <w:tcW w:w="1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months ended March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00" w:type="dxa"/>
            <w:vAlign w:val="bottom"/>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r>
      <w:tr>
        <w:trPr>
          <w:trHeight w:val="203"/>
        </w:trPr>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18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32,408</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43,944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r>
      <w:tr>
        <w:trPr>
          <w:trHeight w:val="247"/>
        </w:trPr>
        <w:tc>
          <w:tcPr>
            <w:tcW w:w="120" w:type="dxa"/>
            <w:vAlign w:val="bottom"/>
          </w:tcPr>
          <w:p>
            <w:pPr>
              <w:spacing w:after="0"/>
              <w:rPr>
                <w:sz w:val="21"/>
                <w:szCs w:val="21"/>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1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27,534</w:t>
            </w:r>
          </w:p>
        </w:tc>
        <w:tc>
          <w:tcPr>
            <w:tcW w:w="480" w:type="dxa"/>
            <w:vAlign w:val="bottom"/>
          </w:tcPr>
          <w:p>
            <w:pPr>
              <w:spacing w:after="0"/>
              <w:rPr>
                <w:sz w:val="21"/>
                <w:szCs w:val="21"/>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39,561</w:t>
            </w: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r>
      <w:tr>
        <w:trPr>
          <w:trHeight w:val="23"/>
        </w:trPr>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18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4,874</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4,383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r>
      <w:tr>
        <w:trPr>
          <w:trHeight w:val="247"/>
        </w:trPr>
        <w:tc>
          <w:tcPr>
            <w:tcW w:w="1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9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449</w:t>
            </w:r>
          </w:p>
        </w:tc>
        <w:tc>
          <w:tcPr>
            <w:tcW w:w="14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r>
      <w:tr>
        <w:trPr>
          <w:trHeight w:val="23"/>
        </w:trPr>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296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420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r>
      <w:tr>
        <w:trPr>
          <w:trHeight w:val="247"/>
        </w:trPr>
        <w:tc>
          <w:tcPr>
            <w:tcW w:w="120" w:type="dxa"/>
            <w:vAlign w:val="bottom"/>
          </w:tcPr>
          <w:p>
            <w:pPr>
              <w:spacing w:after="0"/>
              <w:rPr>
                <w:sz w:val="21"/>
                <w:szCs w:val="21"/>
                <w:color w:val="auto"/>
              </w:rPr>
            </w:pPr>
          </w:p>
        </w:tc>
        <w:tc>
          <w:tcPr>
            <w:tcW w:w="360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29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714</w:t>
            </w:r>
          </w:p>
        </w:tc>
        <w:tc>
          <w:tcPr>
            <w:tcW w:w="14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r>
      <w:tr>
        <w:trPr>
          <w:trHeight w:val="931"/>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60" w:type="dxa"/>
            <w:vAlign w:val="bottom"/>
            <w:gridSpan w:val="2"/>
          </w:tcPr>
          <w:p>
            <w:pPr>
              <w:jc w:val="right"/>
              <w:ind w:right="96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12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2023 and 2022</w:t>
            </w: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16"/>
        </w:trPr>
        <w:tc>
          <w:tcPr>
            <w:tcW w:w="716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1"/>
        </w:trPr>
        <w:tc>
          <w:tcPr>
            <w:tcW w:w="7160" w:type="dxa"/>
            <w:vAlign w:val="bottom"/>
          </w:tcPr>
          <w:p>
            <w:pPr>
              <w:spacing w:after="0"/>
              <w:rPr>
                <w:sz w:val="24"/>
                <w:szCs w:val="24"/>
                <w:color w:val="auto"/>
              </w:rPr>
            </w:pPr>
          </w:p>
        </w:tc>
        <w:tc>
          <w:tcPr>
            <w:tcW w:w="3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r>
      <w:tr>
        <w:trPr>
          <w:trHeight w:val="264"/>
        </w:trPr>
        <w:tc>
          <w:tcPr>
            <w:tcW w:w="71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2"/>
                <w:szCs w:val="22"/>
                <w:color w:val="auto"/>
              </w:rPr>
            </w:pPr>
          </w:p>
        </w:tc>
      </w:tr>
      <w:tr>
        <w:trPr>
          <w:trHeight w:val="235"/>
        </w:trPr>
        <w:tc>
          <w:tcPr>
            <w:tcW w:w="7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40" w:type="dxa"/>
            <w:vAlign w:val="bottom"/>
            <w:gridSpan w:val="3"/>
          </w:tcPr>
          <w:p>
            <w:pPr>
              <w:jc w:val="right"/>
              <w:ind w:right="77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20"/>
                <w:szCs w:val="20"/>
                <w:color w:val="auto"/>
              </w:rPr>
            </w:pPr>
          </w:p>
        </w:tc>
      </w:tr>
      <w:tr>
        <w:trPr>
          <w:trHeight w:val="23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70"/>
        </w:trPr>
        <w:tc>
          <w:tcPr>
            <w:tcW w:w="716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17,888</w:t>
            </w:r>
          </w:p>
        </w:tc>
        <w:tc>
          <w:tcPr>
            <w:tcW w:w="120" w:type="dxa"/>
            <w:vAlign w:val="bottom"/>
          </w:tcPr>
          <w:p>
            <w:pPr>
              <w:spacing w:after="0"/>
              <w:rPr>
                <w:sz w:val="23"/>
                <w:szCs w:val="23"/>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25,669</w:t>
            </w:r>
          </w:p>
        </w:tc>
      </w:tr>
      <w:tr>
        <w:trPr>
          <w:trHeight w:val="27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future revenues</w:t>
            </w:r>
          </w:p>
        </w:tc>
        <w:tc>
          <w:tcPr>
            <w:tcW w:w="1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56"/>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1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28,310</w:t>
            </w:r>
          </w:p>
        </w:tc>
      </w:tr>
      <w:tr>
        <w:trPr>
          <w:trHeight w:val="278"/>
        </w:trPr>
        <w:tc>
          <w:tcPr>
            <w:tcW w:w="7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1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17,301</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19,726</w:t>
            </w:r>
          </w:p>
        </w:tc>
      </w:tr>
      <w:tr>
        <w:trPr>
          <w:trHeight w:val="278"/>
        </w:trPr>
        <w:tc>
          <w:tcPr>
            <w:tcW w:w="7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1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2,458</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2,032</w:t>
            </w:r>
          </w:p>
        </w:tc>
      </w:tr>
      <w:tr>
        <w:trPr>
          <w:trHeight w:val="29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50,068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decreased by $11.7 million, or 23%, for the three months ended March 31, 2023, as compared to the same period in 2022, driven by a $9.7 million decrease in profit share revenue and a $2.4 million decrease in program fees, which was partially offset by increased claims administration and other service fee revenues of $0.4 million, as compared to the three months ended March 31, 2022.</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$9.7 million, or 34%, during the three months ended March 31, 2023, as compared to the same period in 2022. During the three months ended March 31, 2023, we recorded $17.9 million in anticipated profit share associated with 32,408 new certified loans for an average of $552 per loan as compared to $25.7 million in anticipated profit share associated with 43,944 certified loans for an average of $584 per loan during the three months ended March 31, 2022.</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three months ended March 31, 2023 we recorded $0.7 million in estimated future profit share related to business in historic vintages primarily due to lower than anticipated severity of losses and prepayment rates, partially offset by higher loan defaults. During the three months ended March 31, 2022, we recorded $2.6 million in estimated future profit share revenues on certified loans originated in historic vintages primarily due to lower than anticipated loan default rates and severity of losses, partially offset by higher prepayment rates.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Program fees revenue decreased by $2.4 million, or 12%, for the three months ended March 31, 2023 as compared to the same period in 2022. The decrease in program fees revenue was driven by a 26% decrease in certified loan volume, partially offset by a 19% increase in unit economics per certified loan, as compared to the prior year period.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annual earned premium, increased by $ 0.4 million, or 21%, for the three months ended March 31, 2023 as compared to the same period in the prior year, due to a 37% increase in total earned premiums.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0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1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4"/>
              </w:rPr>
              <w:t>38,361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50,068</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22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4"/>
              </w:rPr>
              <w:t>32,930</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45,280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services increased $0.6 million, or 13% during the three months ended March 31, 2023, as compared to the same period in 2022, primarily due to higher employee compensation and benefit costs associated with the growth of our implementation, claims administration and product support operations.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decreased by $12.4 million, or 27%, during the three months ended March 31, 2023, as compared to the same period in 2022, primarily driven by a decrease in anticipated profit share, program fees and change in estimated future revenues based on historic vintages as discussed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 Operating Income and Operating Margin</w:t>
            </w: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20" w:type="dxa"/>
            <w:vAlign w:val="bottom"/>
            <w:gridSpan w:val="3"/>
          </w:tcPr>
          <w:p>
            <w:pPr>
              <w:jc w:val="right"/>
              <w:ind w:right="790"/>
              <w:spacing w:after="0"/>
              <w:rPr>
                <w:sz w:val="20"/>
                <w:szCs w:val="20"/>
                <w:color w:val="auto"/>
              </w:rPr>
            </w:pPr>
            <w:r>
              <w:rPr>
                <w:rFonts w:ascii="Arial" w:cs="Arial" w:eastAsia="Arial" w:hAnsi="Arial"/>
                <w:sz w:val="16"/>
                <w:szCs w:val="16"/>
                <w:i w:val="1"/>
                <w:iCs w:val="1"/>
                <w:color w:val="auto"/>
              </w:rPr>
              <w:t>(in thousands)</w:t>
            </w:r>
          </w:p>
        </w:tc>
        <w:tc>
          <w:tcPr>
            <w:tcW w:w="740" w:type="dxa"/>
            <w:vAlign w:val="bottom"/>
          </w:tcPr>
          <w:p>
            <w:pPr>
              <w:spacing w:after="0"/>
              <w:rPr>
                <w:sz w:val="20"/>
                <w:szCs w:val="20"/>
                <w:color w:val="auto"/>
              </w:rPr>
            </w:pPr>
          </w:p>
        </w:tc>
      </w:tr>
      <w:tr>
        <w:trPr>
          <w:trHeight w:val="278"/>
        </w:trPr>
        <w:tc>
          <w:tcPr>
            <w:tcW w:w="20" w:type="dxa"/>
            <w:vAlign w:val="bottom"/>
          </w:tcPr>
          <w:p>
            <w:pPr>
              <w:spacing w:after="0"/>
              <w:rPr>
                <w:sz w:val="24"/>
                <w:szCs w:val="24"/>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38,361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50,068</w:t>
            </w:r>
          </w:p>
        </w:tc>
      </w:tr>
      <w:tr>
        <w:trPr>
          <w:trHeight w:val="263"/>
        </w:trPr>
        <w:tc>
          <w:tcPr>
            <w:tcW w:w="20" w:type="dxa"/>
            <w:vAlign w:val="bottom"/>
          </w:tcPr>
          <w:p>
            <w:pPr>
              <w:spacing w:after="0"/>
              <w:rPr>
                <w:sz w:val="22"/>
                <w:szCs w:val="22"/>
                <w:color w:val="auto"/>
              </w:rPr>
            </w:pPr>
          </w:p>
        </w:tc>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32,930</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45,280</w:t>
            </w:r>
          </w:p>
        </w:tc>
      </w:tr>
      <w:tr>
        <w:trPr>
          <w:trHeight w:val="278"/>
        </w:trPr>
        <w:tc>
          <w:tcPr>
            <w:tcW w:w="20" w:type="dxa"/>
            <w:vAlign w:val="bottom"/>
          </w:tcPr>
          <w:p>
            <w:pPr>
              <w:spacing w:after="0"/>
              <w:rPr>
                <w:sz w:val="24"/>
                <w:szCs w:val="24"/>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7,482</w:t>
            </w:r>
          </w:p>
        </w:tc>
      </w:tr>
      <w:tr>
        <w:trPr>
          <w:trHeight w:val="23"/>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and marketing</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r>
      <w:tr>
        <w:trPr>
          <w:trHeight w:val="247"/>
        </w:trPr>
        <w:tc>
          <w:tcPr>
            <w:tcW w:w="20" w:type="dxa"/>
            <w:vAlign w:val="bottom"/>
          </w:tcPr>
          <w:p>
            <w:pPr>
              <w:spacing w:after="0"/>
              <w:rPr>
                <w:sz w:val="21"/>
                <w:szCs w:val="21"/>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1,823</w:t>
            </w:r>
          </w:p>
        </w:tc>
      </w:tr>
      <w:tr>
        <w:trPr>
          <w:trHeight w:val="23"/>
        </w:trPr>
        <w:tc>
          <w:tcPr>
            <w:tcW w:w="2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9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15,834</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13,038</w:t>
            </w:r>
          </w:p>
        </w:tc>
      </w:tr>
      <w:tr>
        <w:trPr>
          <w:trHeight w:val="263"/>
        </w:trPr>
        <w:tc>
          <w:tcPr>
            <w:tcW w:w="20" w:type="dxa"/>
            <w:vAlign w:val="bottom"/>
          </w:tcPr>
          <w:p>
            <w:pPr>
              <w:spacing w:after="0"/>
              <w:rPr>
                <w:sz w:val="22"/>
                <w:szCs w:val="22"/>
                <w:color w:val="auto"/>
              </w:rPr>
            </w:pPr>
          </w:p>
        </w:tc>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17,096</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32,242</w:t>
            </w:r>
          </w:p>
        </w:tc>
      </w:tr>
      <w:tr>
        <w:trPr>
          <w:trHeight w:val="20"/>
        </w:trPr>
        <w:tc>
          <w:tcPr>
            <w:tcW w:w="20" w:type="dxa"/>
            <w:vAlign w:val="bottom"/>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1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increased by $2.7 million, or 36%, during the three months ended March 31, 2023, as compared to the same period last year, primarily driven by increased professional fees of $1.0 million, higher employee compensation and benefit costs of $0.8 million due to the expansion of our corporate administration team in 2022 and business taxes of $0.8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and marketing expenses increased by $0.7 million, or 18%, during the three months ended March 31, 2023 as compared to the prior year period, primarily driven by increased marketing and business development costs of $0.5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expenses decreased by $0.6 million, or 33%, during the three months ended March 31, 2023, as compared to the same period in the prior year, primarily due to decreased employee compensation and benefits in line with our shift in focus to product support and the development of internal use software.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for the three months ended March 31, 2023 decreased by $15.1 million, or 47%, as compared to the prior year period, primarily driven by decreased estimated profit share, as well as increases in operating expenses related to general and administrative and selling and marketing, as discussed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2023 and 2022, interest expense was $2.4 million and $0.8 million, respectively. Interest expense increased $1.6 million or 197% for the three months ended March 31, 2023, as compared to the three months ended March 31, 2022, as a result of higher borrowing costs and higher outstanding debt balances during 2023.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March 31, 2023 interest income increased $2.0 million primarily due to interest earned on U.S. Treasury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2023 and 2022, we recognized income tax expense of $ 4.2 million and $8.3 million, respectively. The effective tax rate for the three months ended March 31, 2023 was 25.2%, as compared to an effective tax rate of 26.5% for the three months ended March 31, 2022. Income tax expense decreased $ 4.1 million or 49% during the three months ended March 31, 2023 as compared to the three months ended March 31, 2022, primarily as a result of the decrease in income before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in this Quarterly Report and our Annual Report for a full description of the related estimates, assumptions and judgments.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47"/>
        </w:trPr>
        <w:tc>
          <w:tcPr>
            <w:tcW w:w="7160" w:type="dxa"/>
            <w:vAlign w:val="bottom"/>
          </w:tcPr>
          <w:p>
            <w:pPr>
              <w:spacing w:after="0"/>
              <w:rPr>
                <w:sz w:val="24"/>
                <w:szCs w:val="24"/>
                <w:color w:val="auto"/>
              </w:rPr>
            </w:pPr>
          </w:p>
        </w:tc>
        <w:tc>
          <w:tcPr>
            <w:tcW w:w="342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Three Months Ended March 31,</w:t>
            </w:r>
          </w:p>
        </w:tc>
        <w:tc>
          <w:tcPr>
            <w:tcW w:w="660" w:type="dxa"/>
            <w:vAlign w:val="bottom"/>
            <w:tcBorders>
              <w:bottom w:val="single" w:sz="8" w:color="auto"/>
            </w:tcBorders>
          </w:tcPr>
          <w:p>
            <w:pPr>
              <w:spacing w:after="0"/>
              <w:rPr>
                <w:sz w:val="24"/>
                <w:szCs w:val="24"/>
                <w:color w:val="auto"/>
              </w:rPr>
            </w:pPr>
          </w:p>
        </w:tc>
      </w:tr>
      <w:tr>
        <w:trPr>
          <w:trHeight w:val="257"/>
        </w:trPr>
        <w:tc>
          <w:tcPr>
            <w:tcW w:w="716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2"/>
                <w:szCs w:val="22"/>
                <w:color w:val="auto"/>
              </w:rPr>
            </w:pPr>
          </w:p>
        </w:tc>
      </w:tr>
      <w:tr>
        <w:trPr>
          <w:trHeight w:val="235"/>
        </w:trPr>
        <w:tc>
          <w:tcPr>
            <w:tcW w:w="7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80" w:type="dxa"/>
            <w:vAlign w:val="bottom"/>
            <w:gridSpan w:val="2"/>
          </w:tcPr>
          <w:p>
            <w:pPr>
              <w:jc w:val="center"/>
              <w:ind w:right="49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20"/>
                <w:szCs w:val="20"/>
                <w:color w:val="auto"/>
              </w:rPr>
            </w:pPr>
          </w:p>
        </w:tc>
      </w:tr>
      <w:tr>
        <w:trPr>
          <w:trHeight w:val="25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29,508</w:t>
            </w:r>
          </w:p>
        </w:tc>
        <w:tc>
          <w:tcPr>
            <w:tcW w:w="138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31,932</w:t>
            </w:r>
          </w:p>
        </w:tc>
      </w:tr>
      <w:tr>
        <w:trPr>
          <w:trHeight w:val="247"/>
        </w:trPr>
        <w:tc>
          <w:tcPr>
            <w:tcW w:w="7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c>
          <w:tcPr>
            <w:tcW w:w="1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
        </w:trPr>
        <w:tc>
          <w:tcPr>
            <w:tcW w:w="7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13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3"/>
        </w:trPr>
        <w:tc>
          <w:tcPr>
            <w:tcW w:w="7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p>
        </w:tc>
        <w:tc>
          <w:tcPr>
            <w:tcW w:w="3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57"/>
        </w:trPr>
        <w:tc>
          <w:tcPr>
            <w:tcW w:w="71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2"/>
                <w:szCs w:val="22"/>
                <w:color w:val="auto"/>
              </w:rPr>
            </w:pPr>
          </w:p>
        </w:tc>
      </w:tr>
      <w:tr>
        <w:trPr>
          <w:trHeight w:val="215"/>
        </w:trPr>
        <w:tc>
          <w:tcPr>
            <w:tcW w:w="7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40" w:type="dxa"/>
            <w:vAlign w:val="bottom"/>
            <w:gridSpan w:val="3"/>
          </w:tcPr>
          <w:p>
            <w:pPr>
              <w:jc w:val="right"/>
              <w:ind w:right="77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8"/>
                <w:szCs w:val="18"/>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23,154</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Non-cash reconciling adjustments</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other assets and liabilities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decreased by $2.4 million for the three months ended March 31, 2023 as compared to the three months ended March 31, 2022. The decrease was primarily attributable to decreased cash collections of $7.1 million related to reduced profit share, program fees and claims administration service fee revenues, a $4.5 million increase in cash payments related to cost of services and operating expenses and a $1.8 million increase in interest payments. This decrease in cash was offset by an $8.3 million reduction in income tax payments and $2.0 million increase in interest income received during the three months ended March 31, 2023 as compared to the three months ended March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net cash used in investing activities was $0.3 million and $0.2 million,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investments primarily related to computer software developed for internal use.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used in and provided by financing activities primarily consist of share repurchases, payments of debt and deferred financing costs.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2023, net cash used in financing activities was $22.4 million and is primarily related to the repurchase of 3,095,334 shares of our common stock held in treasury stock for a total of $21.5 million, including commissions and excise tax.</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2022, net cash provided by financing activities was $0.8 million and is primarily related to a principal payment of our term loan due 2026.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March 31, 2023, we had no amounts outstanding under our Revolving Credit Facility and $148.1 million outstanding under our Term Loan due 2027.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November 17, 2022, the Board of Directors authorized a share repurchase program allowing the Company to repurchase up to $75.0 million of the Company’s outstanding common stock until November 17, 2023 (the “Share Repurchase Program”). Repurchases may be made at management’s discretion from time to time on the open market. The Share Repurchase Program may be suspended, amended, or discontinued at any time. Pursuant to the Share Repurchase Program, the Company repurchased 3,095,334 shares at an average price of $6.87 for a total of $21.3 million, excluding excise tax, during the three months ended March 31, 2023, leaving $35.5 million available under our Share Repurchase Program as of March 31, 2023. These shares were recorded to </w:t>
      </w:r>
      <w:r>
        <w:rPr>
          <w:rFonts w:ascii="Arial" w:cs="Arial" w:eastAsia="Arial" w:hAnsi="Arial"/>
          <w:sz w:val="18"/>
          <w:szCs w:val="18"/>
          <w:i w:val="1"/>
          <w:iCs w:val="1"/>
          <w:color w:val="auto"/>
        </w:rPr>
        <w:t>Treasury stock, at cost</w:t>
      </w:r>
      <w:r>
        <w:rPr>
          <w:rFonts w:ascii="Arial" w:cs="Arial" w:eastAsia="Arial" w:hAnsi="Arial"/>
          <w:sz w:val="18"/>
          <w:szCs w:val="18"/>
          <w:color w:val="auto"/>
        </w:rPr>
        <w:t xml:space="preserve"> in the unaudited Condensed Consolidated Balance Sheets, which includes $0.2 million of excise tax expected to be paid in April 2024. This excise tax payable is included within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unaudited Condensed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8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35"/>
        </w:trPr>
        <w:tc>
          <w:tcPr>
            <w:tcW w:w="6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(in thousands)</w:t>
            </w:r>
          </w:p>
        </w:tc>
        <w:tc>
          <w:tcPr>
            <w:tcW w:w="1440" w:type="dxa"/>
            <w:vAlign w:val="bottom"/>
          </w:tcPr>
          <w:p>
            <w:pPr>
              <w:spacing w:after="0"/>
              <w:rPr>
                <w:sz w:val="20"/>
                <w:szCs w:val="20"/>
                <w:color w:val="auto"/>
              </w:rPr>
            </w:pPr>
          </w:p>
        </w:tc>
      </w:tr>
      <w:tr>
        <w:trPr>
          <w:trHeight w:val="23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12,538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23,154</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803</w:t>
            </w:r>
          </w:p>
        </w:tc>
      </w:tr>
      <w:tr>
        <w:trPr>
          <w:trHeight w:val="230"/>
        </w:trPr>
        <w:tc>
          <w:tcPr>
            <w:tcW w:w="68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8,310</w:t>
            </w:r>
          </w:p>
        </w:tc>
      </w:tr>
      <w:tr>
        <w:trPr>
          <w:trHeight w:val="22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r>
      <w:tr>
        <w:trPr>
          <w:trHeight w:val="230"/>
        </w:trPr>
        <w:tc>
          <w:tcPr>
            <w:tcW w:w="6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Share-based compensation</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1,281</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8,710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10,615</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21,248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33,769</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38,361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50,068</w:t>
            </w:r>
          </w:p>
        </w:tc>
      </w:tr>
      <w:tr>
        <w:trPr>
          <w:trHeight w:val="247"/>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67 %</w:t>
            </w: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2023, Adjusted EBITDA decreased by $12.5 million, or 37%, as compared to the three months ended March 31, 2022. Adjusted EBITDA margin for the three months ended March 31, 2023 decreased to 55% as compared to 67% in the three months ended March 31, 2022. The decrease in Adjusted EBITDA during the three months ended March 31, 2023 reflects our reduced revenue and increased cost of services and operating expenses during the current quarter.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not been any material changes during the three months ended March 31, 2023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Operations—Critical Accounting Policies and Estimates</w:t>
      </w:r>
      <w:r>
        <w:rPr>
          <w:rFonts w:ascii="Arial" w:cs="Arial" w:eastAsia="Arial" w:hAnsi="Arial"/>
          <w:sz w:val="18"/>
          <w:szCs w:val="18"/>
          <w:color w:val="auto"/>
        </w:rPr>
        <w:t>” in our Annual Report for further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critical accounting policies and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no material changes in our contractual commitments and obligations during the three months ended March 31, 2023 from the amounts listed under “</w:t>
      </w:r>
      <w:r>
        <w:rPr>
          <w:rFonts w:ascii="Arial" w:cs="Arial" w:eastAsia="Arial" w:hAnsi="Arial"/>
          <w:sz w:val="18"/>
          <w:szCs w:val="18"/>
          <w:i w:val="1"/>
          <w:iCs w:val="1"/>
          <w:color w:val="auto"/>
        </w:rPr>
        <w:t>Part II, Item 7. Management’s Discussion and Analysis of Financial Condition and Results of Operations—Contractual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inflation,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New Term Loan due 2027 also exposes us to changes in short-term interest rates since interest rates on the underlying obligations are variable.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2023, we had outstanding amounts of $148.1 million under the Term Loan due 2027, which is scheduled to mature on September 9, 2027. There were no amounts outstanding under the Revolving Credit Facility as of March 31, 2023.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0.150%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jc w:val="both"/>
        <w:ind w:left="20"/>
        <w:spacing w:after="0" w:line="296" w:lineRule="auto"/>
        <w:rPr>
          <w:sz w:val="20"/>
          <w:szCs w:val="20"/>
          <w:color w:val="auto"/>
        </w:rPr>
      </w:pPr>
      <w:r>
        <w:rPr>
          <w:rFonts w:ascii="Arial" w:cs="Arial" w:eastAsia="Arial" w:hAnsi="Arial"/>
          <w:sz w:val="17"/>
          <w:szCs w:val="17"/>
          <w:color w:val="auto"/>
        </w:rPr>
        <w:t>1/1/2023-1/31/2023 2/1/2023-2/28/2023 3/1/2023-3/31/2023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center"/>
              <w:ind w:right="52"/>
              <w:spacing w:after="0"/>
              <w:rPr>
                <w:sz w:val="20"/>
                <w:szCs w:val="20"/>
                <w:color w:val="auto"/>
              </w:rPr>
            </w:pPr>
            <w:r>
              <w:rPr>
                <w:rFonts w:ascii="Arial" w:cs="Arial" w:eastAsia="Arial" w:hAnsi="Arial"/>
                <w:sz w:val="18"/>
                <w:szCs w:val="18"/>
                <w:b w:val="1"/>
                <w:bCs w:val="1"/>
                <w:color w:val="auto"/>
              </w:rPr>
              <w:t>Approximate dollar value of</w:t>
            </w:r>
          </w:p>
        </w:tc>
        <w:tc>
          <w:tcPr>
            <w:tcW w:w="0" w:type="dxa"/>
            <w:vAlign w:val="bottom"/>
          </w:tcPr>
          <w:p>
            <w:pPr>
              <w:spacing w:after="0"/>
              <w:rPr>
                <w:sz w:val="1"/>
                <w:szCs w:val="1"/>
                <w:color w:val="auto"/>
              </w:rPr>
            </w:pPr>
          </w:p>
        </w:tc>
      </w:tr>
      <w:tr>
        <w:trPr>
          <w:trHeight w:val="184"/>
        </w:trPr>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5"/>
                <w:szCs w:val="15"/>
                <w:color w:val="auto"/>
              </w:rPr>
            </w:pPr>
          </w:p>
        </w:tc>
        <w:tc>
          <w:tcPr>
            <w:tcW w:w="22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Average price paid per</w:t>
            </w:r>
          </w:p>
        </w:tc>
        <w:tc>
          <w:tcPr>
            <w:tcW w:w="21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purchased 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ind w:right="52"/>
              <w:spacing w:after="0" w:line="183"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59"/>
        </w:trPr>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publicly announced</w:t>
            </w:r>
          </w:p>
        </w:tc>
        <w:tc>
          <w:tcPr>
            <w:tcW w:w="100" w:type="dxa"/>
            <w:vAlign w:val="bottom"/>
          </w:tcPr>
          <w:p>
            <w:pPr>
              <w:spacing w:after="0"/>
              <w:rPr>
                <w:sz w:val="5"/>
                <w:szCs w:val="5"/>
                <w:color w:val="auto"/>
              </w:rPr>
            </w:pPr>
          </w:p>
        </w:tc>
        <w:tc>
          <w:tcPr>
            <w:tcW w:w="27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purchased under the plans or</w:t>
            </w:r>
          </w:p>
        </w:tc>
        <w:tc>
          <w:tcPr>
            <w:tcW w:w="0" w:type="dxa"/>
            <w:vAlign w:val="bottom"/>
          </w:tcPr>
          <w:p>
            <w:pPr>
              <w:spacing w:after="0"/>
              <w:rPr>
                <w:sz w:val="1"/>
                <w:szCs w:val="1"/>
                <w:color w:val="auto"/>
              </w:rPr>
            </w:pPr>
          </w:p>
        </w:tc>
      </w:tr>
      <w:tr>
        <w:trPr>
          <w:trHeight w:val="175"/>
        </w:trPr>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2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2"/>
          </w:tcPr>
          <w:p>
            <w:pPr>
              <w:jc w:val="center"/>
              <w:ind w:right="580"/>
              <w:spacing w:after="0" w:line="176" w:lineRule="exact"/>
              <w:rPr>
                <w:sz w:val="20"/>
                <w:szCs w:val="20"/>
                <w:color w:val="auto"/>
              </w:rPr>
            </w:pPr>
            <w:r>
              <w:rPr>
                <w:rFonts w:ascii="Arial" w:cs="Arial" w:eastAsia="Arial" w:hAnsi="Arial"/>
                <w:sz w:val="18"/>
                <w:szCs w:val="18"/>
                <w:b w:val="1"/>
                <w:bCs w:val="1"/>
                <w:color w:val="auto"/>
                <w:w w:val="99"/>
              </w:rPr>
              <w:t>share</w:t>
            </w: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ind w:right="52"/>
              <w:spacing w:after="0" w:line="176" w:lineRule="exact"/>
              <w:rPr>
                <w:sz w:val="20"/>
                <w:szCs w:val="20"/>
                <w:color w:val="auto"/>
              </w:rPr>
            </w:pPr>
            <w:r>
              <w:rPr>
                <w:rFonts w:ascii="Arial" w:cs="Arial" w:eastAsia="Arial" w:hAnsi="Arial"/>
                <w:sz w:val="16"/>
                <w:szCs w:val="16"/>
                <w:b w:val="1"/>
                <w:bCs w:val="1"/>
                <w:color w:val="auto"/>
              </w:rPr>
              <w:t xml:space="preserve">programs (in millions)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Arial" w:cs="Arial" w:eastAsia="Arial" w:hAnsi="Arial"/>
                <w:sz w:val="18"/>
                <w:szCs w:val="18"/>
                <w:color w:val="auto"/>
              </w:rPr>
              <w:t>97,606</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96,900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5"/>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2,998,434</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2,998,434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3,113,382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3,095,334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-333375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-633730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580" w:space="660"/>
            <w:col w:w="9000"/>
          </w:cols>
          <w:pgMar w:left="320" w:top="121" w:right="339" w:bottom="1440" w:gutter="0" w:footer="0" w:header="0"/>
          <w:type w:val="continuous"/>
        </w:sectPr>
      </w:pPr>
    </w:p>
    <w:p>
      <w:pPr>
        <w:ind w:firstLine="8"/>
        <w:spacing w:after="0" w:line="256" w:lineRule="auto"/>
        <w:tabs>
          <w:tab w:leader="none" w:pos="39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17,342 shares in January 2023, 706 shares in February 2023 and no shares in March 2023 which were purchased from employees to satisfy their tax withholding obligations related to share-based awards that vested during those months.</w:t>
      </w:r>
    </w:p>
    <w:p>
      <w:pPr>
        <w:spacing w:after="0" w:line="1" w:lineRule="exact"/>
        <w:rPr>
          <w:rFonts w:ascii="Arial" w:cs="Arial" w:eastAsia="Arial" w:hAnsi="Arial"/>
          <w:sz w:val="16"/>
          <w:szCs w:val="16"/>
          <w:color w:val="auto"/>
        </w:rPr>
      </w:pPr>
    </w:p>
    <w:p>
      <w:pPr>
        <w:ind w:firstLine="8"/>
        <w:spacing w:after="0" w:line="283" w:lineRule="auto"/>
        <w:tabs>
          <w:tab w:leader="none" w:pos="415"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17, 2022, our Board of Directors authorized share repurchases under the Share Repurchase Program for up to $75.0 million, effective through November 17,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15, 2023, John J. Flynn, Chairman of our Board of Directors, entered into a 10b5-1 sales plan (the “Flynn 10b5-1 Sales Plan”) intended to satisfy the affirmative defense of Rule 10b5-1(c) under the Exchange Act. The Flynn 10b5-1 Sales Plan will be in effect until the earlier of (1) June 14, 2024 and (2) the date on which an aggregate of 1,200,000 shares of the Company’s common stock have been sold under the 10b5-1 Sales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60" w:type="dxa"/>
            <w:vAlign w:val="bottom"/>
            <w:gridSpan w:val="9"/>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60" w:type="dxa"/>
            <w:vAlign w:val="bottom"/>
            <w:tcBorders>
              <w:top w:val="single" w:sz="8" w:color="auto"/>
              <w:bottom w:val="single" w:sz="8" w:color="0000FF"/>
            </w:tcBorders>
            <w:gridSpan w:val="12"/>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Certificate of Incorporation of Open Lending Corporation (incorporated by reference to Exhibit 3.1 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Open Lending Corporation’s Current Report on Form 8-K filed June 15, 2020).</w:t>
              </w:r>
            </w:hyperlink>
          </w:p>
        </w:tc>
        <w:tc>
          <w:tcPr>
            <w:tcW w:w="3840" w:type="dxa"/>
            <w:vAlign w:val="bottom"/>
            <w:gridSpan w:val="7"/>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1"/>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Bylaws of Open Lending Corporation (incorporated by reference to Exhibit 3.2 to Open Lending</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Corporation’s Current Report on Form 8-K filed June 15, 2020).</w:t>
              </w:r>
            </w:hyperlink>
          </w:p>
        </w:tc>
        <w:tc>
          <w:tcPr>
            <w:tcW w:w="5020" w:type="dxa"/>
            <w:vAlign w:val="bottom"/>
            <w:gridSpan w:val="8"/>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color w:val="0000FF"/>
              </w:rPr>
            </w:pPr>
            <w:hyperlink r:id="rId51">
              <w:r>
                <w:rPr>
                  <w:rFonts w:ascii="Arial" w:cs="Arial" w:eastAsia="Arial" w:hAnsi="Arial"/>
                  <w:sz w:val="18"/>
                  <w:szCs w:val="18"/>
                  <w:color w:val="0000FF"/>
                </w:rPr>
                <w:t>First Amendment to Advisory and Consulting Services Agreement by and between the Company and Ross M. Jessup, dated</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April 7, 2023 (incorporated by reference to Exhibit 10.1 to Open Lending Corporation’s Current Report on Form 8-K filed April</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5"/>
          </w:tcPr>
          <w:p>
            <w:pPr>
              <w:ind w:left="20"/>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1</w:t>
              </w:r>
            </w:hyperlink>
            <w:r>
              <w:rPr>
                <w:rFonts w:ascii="Arial" w:cs="Arial" w:eastAsia="Arial" w:hAnsi="Arial"/>
                <w:sz w:val="18"/>
                <w:szCs w:val="18"/>
                <w:color w:val="000000"/>
              </w:rPr>
              <w:t>2</w:t>
            </w:r>
            <w:hyperlink r:id="rId51">
              <w:r>
                <w:rPr>
                  <w:rFonts w:ascii="Arial" w:cs="Arial" w:eastAsia="Arial" w:hAnsi="Arial"/>
                  <w:sz w:val="18"/>
                  <w:szCs w:val="18"/>
                  <w:color w:val="0000FF"/>
                </w:rPr>
                <w:t>, 2023).</w:t>
              </w:r>
            </w:hyperlink>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c>
          <w:tcPr>
            <w:tcW w:w="1940" w:type="dxa"/>
            <w:vAlign w:val="bottom"/>
            <w:gridSpan w:val="5"/>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6"/>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 Section 906 of the Sarbanes-Oxley Act of 2002 (18 U.S.C. § 1350)</w:t>
            </w: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Certification of Chief Financial Officer pursuant to Section 906 of the Sarbanes-Oxley Act of 2002 (18 U.S.C. § 1350)</w:t>
            </w:r>
          </w:p>
        </w:tc>
        <w:tc>
          <w:tcPr>
            <w:tcW w:w="740" w:type="dxa"/>
            <w:vAlign w:val="bottom"/>
            <w:gridSpan w:val="3"/>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60" w:type="dxa"/>
            <w:vAlign w:val="bottom"/>
            <w:gridSpan w:val="8"/>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32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The following financial statements from Open Lending Corporation’s Quarterly Report on Form 10-Q for the quarterly period</w:t>
            </w:r>
          </w:p>
        </w:tc>
      </w:tr>
      <w:tr>
        <w:trPr>
          <w:trHeight w:val="239"/>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ended March 31, 2023,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(iii) Condensed Consolidated Statements of Changes in Stockholders’ Equity</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44" w:lineRule="exact"/>
        <w:rPr>
          <w:sz w:val="20"/>
          <w:szCs w:val="20"/>
          <w:color w:val="auto"/>
        </w:rPr>
      </w:pPr>
    </w:p>
    <w:p>
      <w:pPr>
        <w:ind w:left="1180" w:hanging="755"/>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79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5"/>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81"/>
        </w:trPr>
        <w:tc>
          <w:tcPr>
            <w:tcW w:w="610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4"/>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8"/>
                <w:szCs w:val="18"/>
                <w:color w:val="auto"/>
              </w:rPr>
              <w:t>May 10, 2023</w:t>
            </w: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00" w:type="dxa"/>
            <w:vAlign w:val="bottom"/>
          </w:tcPr>
          <w:p>
            <w:pPr>
              <w:spacing w:after="0"/>
              <w:rPr>
                <w:sz w:val="20"/>
                <w:szCs w:val="20"/>
                <w:color w:val="auto"/>
              </w:rPr>
            </w:pPr>
            <w:r>
              <w:rPr>
                <w:rFonts w:ascii="Arial" w:cs="Arial" w:eastAsia="Arial" w:hAnsi="Arial"/>
                <w:sz w:val="18"/>
                <w:szCs w:val="18"/>
                <w:color w:val="auto"/>
              </w:rPr>
              <w:t>Date: May 10,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81"/>
        </w:trPr>
        <w:tc>
          <w:tcPr>
            <w:tcW w:w="610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00" w:type="dxa"/>
            <w:vAlign w:val="bottom"/>
          </w:tcPr>
          <w:p>
            <w:pPr>
              <w:spacing w:after="0"/>
              <w:rPr>
                <w:sz w:val="20"/>
                <w:szCs w:val="20"/>
                <w:color w:val="auto"/>
              </w:rPr>
            </w:pPr>
            <w:r>
              <w:rPr>
                <w:rFonts w:ascii="Arial" w:cs="Arial" w:eastAsia="Arial" w:hAnsi="Arial"/>
                <w:sz w:val="18"/>
                <w:szCs w:val="18"/>
                <w:color w:val="auto"/>
              </w:rPr>
              <w:t>Date: May 10,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610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fiscal quarter ended March 31, 2023 of Open Lending Corporation, a Delaware corporation (the “Company”), as filed with the Securities and Exchange Commission on the date hereof (the “Form 10-Q”), I, Keith A. Jezek,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7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3223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10, 2023</w:t>
      </w:r>
    </w:p>
    <w:p>
      <w:pPr>
        <w:sectPr>
          <w:pgSz w:w="11900" w:h="16838" w:orient="portrait"/>
          <w:cols w:equalWidth="0" w:num="1">
            <w:col w:w="11240"/>
          </w:cols>
          <w:pgMar w:left="320" w:top="110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fiscal quarter ended March 31, 2023 of Open Lending Corporation, a Delaware corporation (the “Company”), as filed with the Securities and Exchange Commission on the date hereof (the “Form 10-Q”), I, Charles D. Jehl,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7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3223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10, 2023</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lvl w:ilvl="1">
      <w:lvlJc w:val="left"/>
      <w:lvlText w:val="%2)"/>
      <w:numFmt w:val="lowerLetter"/>
      <w:start w:val="1"/>
    </w:lvl>
  </w:abstractNum>
  <w:abstractNum w:abstractNumId="12">
    <w:nsid w:val="4E6AFB66"/>
    <w:multiLevelType w:val="hybridMultilevel"/>
    <w:lvl w:ilvl="0">
      <w:lvlJc w:val="left"/>
      <w:lvlText w:val="5"/>
      <w:numFmt w:val="bullet"/>
      <w:start w:val="1"/>
    </w:lvl>
    <w:lvl w:ilvl="1">
      <w:lvlJc w:val="left"/>
      <w:lvlText w:val="%2)"/>
      <w:numFmt w:val="lowerLetter"/>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4"/>
      <w:numFmt w:val="bullet"/>
      <w:start w:val="1"/>
    </w:lvl>
    <w:lvl w:ilvl="1">
      <w:lvlJc w:val="left"/>
      <w:lvlText w:val="%2)"/>
      <w:numFmt w:val="lowerLetter"/>
      <w:start w:val="1"/>
    </w:lvl>
  </w:abstractNum>
  <w:abstractNum w:abstractNumId="17">
    <w:nsid w:val="7C83E458"/>
    <w:multiLevelType w:val="hybridMultilevel"/>
    <w:lvl w:ilvl="0">
      <w:lvlJc w:val="left"/>
      <w:lvlText w:val="5"/>
      <w:numFmt w:val="bullet"/>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9" Type="http://schemas.openxmlformats.org/officeDocument/2006/relationships/hyperlink" Target="https://www.sec.gov/Archives/edgar/data/1806201/000119312520169633/d941403dex31.htm" TargetMode="External"/><Relationship Id="rId50" Type="http://schemas.openxmlformats.org/officeDocument/2006/relationships/hyperlink" Target="https://www.sec.gov/Archives/edgar/data/1806201/000119312520169633/d941403dex32.htm" TargetMode="External"/><Relationship Id="rId51" Type="http://schemas.openxmlformats.org/officeDocument/2006/relationships/hyperlink" Target="https://www.sec.gov/Archives/edgar/data/1806201/000180620123000051/a23-04x04firstamendmentto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2023-05-10T07:45:32Z</dcterms:created>
  <dcterms:modified xsi:type="dcterms:W3CDTF">2023-05-10T07:45:32Z</dcterms:modified>
</cp:coreProperties>
</file>