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60" w:after="283"/>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60" w:after="283"/>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60" w:after="283"/>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before="120" w:after="283"/>
        <w:jc w:val="center"/>
        <w:rPr/>
      </w:pPr>
      <w:r>
        <w:rPr/>
      </w:r>
    </w:p>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FORM 10-Q</w:t>
      </w:r>
    </w:p>
    <w:p>
      <w:pPr>
        <w:pStyle w:val="TextBody"/>
        <w:bidi w:val="0"/>
        <w:spacing w:lineRule="auto" w:line="288" w:before="60" w:after="283"/>
        <w:jc w:val="both"/>
        <w:rPr>
          <w:rFonts w:ascii="Arial;sans-serif" w:hAnsi="Arial;sans-serif"/>
          <w:b/>
          <w:color w:val="000000"/>
          <w:sz w:val="20"/>
        </w:rPr>
      </w:pPr>
      <w:r>
        <w:rPr>
          <w:rFonts w:ascii="Arial;sans-serif" w:hAnsi="Arial;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4"/>
              </w:rPr>
            </w:pPr>
            <w:r>
              <w:rPr>
                <w:rFonts w:ascii="Arial;sans-serif" w:hAnsi="Arial;sans-serif"/>
                <w:b/>
                <w:color w:val="000000"/>
                <w:sz w:val="24"/>
              </w:rPr>
              <w:t>QUARTERLY REPORT PURSUANT TO SECTION 13 OR 15(d) OF THE SECURITIES EXCHANGE ACT OF 1934</w:t>
            </w:r>
          </w:p>
        </w:tc>
      </w:tr>
    </w:tbl>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For the quarterly period ended September 30, 2025</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4"/>
              </w:rPr>
            </w:pPr>
            <w:r>
              <w:rPr>
                <w:rFonts w:ascii="Arial;sans-serif" w:hAnsi="Arial;sans-serif"/>
                <w:b/>
                <w:color w:val="000000"/>
                <w:sz w:val="24"/>
              </w:rPr>
              <w:t>TRANSITION REPORT PURSUANT TO SECTION 13 OR 15(d) OF THE SECURITIES EXCHANGE ACT OF 1934</w:t>
            </w:r>
          </w:p>
        </w:tc>
      </w:tr>
    </w:tbl>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For the transition period from ______________ to ______________</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Commission File Number: 001-39326</w:t>
      </w:r>
    </w:p>
    <w:p>
      <w:pPr>
        <w:pStyle w:val="TextBody"/>
        <w:bidi w:val="0"/>
        <w:spacing w:before="200" w:after="283"/>
        <w:jc w:val="center"/>
        <w:rPr/>
      </w:pPr>
      <w:r>
        <w:rPr/>
        <w:drawing>
          <wp:inline distT="0" distB="0" distL="0" distR="0">
            <wp:extent cx="2381250"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371475"/>
                    </a:xfrm>
                    <a:prstGeom prst="rect">
                      <a:avLst/>
                    </a:prstGeom>
                  </pic:spPr>
                </pic:pic>
              </a:graphicData>
            </a:graphic>
          </wp:inline>
        </w:drawing>
      </w:r>
      <w:bookmarkStart w:id="0" w:name="i-1"/>
      <w:bookmarkEnd w:id="0"/>
    </w:p>
    <w:p>
      <w:pPr>
        <w:pStyle w:val="TextBody"/>
        <w:bidi w:val="0"/>
        <w:spacing w:lineRule="auto" w:line="288" w:before="60" w:after="283"/>
        <w:jc w:val="center"/>
        <w:rPr>
          <w:rFonts w:ascii="Arial;sans-serif" w:hAnsi="Arial;sans-serif"/>
          <w:b/>
          <w:color w:val="000000"/>
          <w:sz w:val="48"/>
        </w:rPr>
      </w:pPr>
      <w:r>
        <w:rPr>
          <w:rFonts w:ascii="Arial;sans-serif" w:hAnsi="Arial;sans-serif"/>
          <w:b/>
          <w:color w:val="000000"/>
          <w:sz w:val="48"/>
        </w:rPr>
        <w:t>OPEN LENDING CORPORATION</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(Exact Name of Registrant as Specified in its Charter)</w:t>
      </w:r>
    </w:p>
    <w:p>
      <w:pPr>
        <w:pStyle w:val="TextBody"/>
        <w:bidi w:val="0"/>
        <w:spacing w:before="120" w:after="283"/>
        <w:jc w:val="center"/>
        <w:rPr/>
      </w:pPr>
      <w:r>
        <w:rPr/>
      </w:r>
    </w:p>
    <w:tbl>
      <w:tblPr>
        <w:tblW w:w="4799" w:type="dxa"/>
        <w:jc w:val="left"/>
        <w:tblInd w:w="0" w:type="dxa"/>
        <w:tblLayout w:type="fixed"/>
        <w:tblCellMar>
          <w:top w:w="28" w:type="dxa"/>
          <w:left w:w="28" w:type="dxa"/>
          <w:bottom w:w="28" w:type="dxa"/>
          <w:right w:w="28" w:type="dxa"/>
        </w:tblCellMar>
      </w:tblPr>
      <w:tblGrid>
        <w:gridCol w:w="1166"/>
        <w:gridCol w:w="1025"/>
        <w:gridCol w:w="1034"/>
        <w:gridCol w:w="460"/>
        <w:gridCol w:w="460"/>
        <w:gridCol w:w="654"/>
      </w:tblGrid>
      <w:tr>
        <w:trPr/>
        <w:tc>
          <w:tcPr>
            <w:tcW w:w="116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Delaware</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84-5031428</w:t>
            </w:r>
          </w:p>
        </w:tc>
      </w:tr>
      <w:tr>
        <w:trPr/>
        <w:tc>
          <w:tcPr>
            <w:tcW w:w="32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(State or other jurisdiction of</w:t>
              <w:br/>
              <w:t>incorporation or organization)</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1501 S. MoPac Expressway</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Suite 450</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Austin, Texas</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78746</w:t>
            </w:r>
          </w:p>
        </w:tc>
      </w:tr>
      <w:tr>
        <w:trPr/>
        <w:tc>
          <w:tcPr>
            <w:tcW w:w="32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(Address of principal executive offices)</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(Zip Code)</w:t>
            </w:r>
          </w:p>
        </w:tc>
      </w:tr>
    </w:tbl>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Registrant’s telephone number, including area code: (512) 892-0400</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Securities registered pursuant to Section 12(b) of the Act:</w:t>
      </w:r>
    </w:p>
    <w:tbl>
      <w:tblPr>
        <w:tblW w:w="8482" w:type="dxa"/>
        <w:jc w:val="left"/>
        <w:tblInd w:w="0" w:type="dxa"/>
        <w:tblLayout w:type="fixed"/>
        <w:tblCellMar>
          <w:top w:w="28" w:type="dxa"/>
          <w:left w:w="28" w:type="dxa"/>
          <w:bottom w:w="28" w:type="dxa"/>
          <w:right w:w="28" w:type="dxa"/>
        </w:tblCellMar>
      </w:tblPr>
      <w:tblGrid>
        <w:gridCol w:w="1436"/>
        <w:gridCol w:w="1261"/>
        <w:gridCol w:w="1277"/>
        <w:gridCol w:w="109"/>
        <w:gridCol w:w="109"/>
        <w:gridCol w:w="109"/>
        <w:gridCol w:w="304"/>
        <w:gridCol w:w="304"/>
        <w:gridCol w:w="306"/>
        <w:gridCol w:w="109"/>
        <w:gridCol w:w="109"/>
        <w:gridCol w:w="109"/>
        <w:gridCol w:w="861"/>
        <w:gridCol w:w="861"/>
        <w:gridCol w:w="1218"/>
      </w:tblGrid>
      <w:tr>
        <w:trPr/>
        <w:tc>
          <w:tcPr>
            <w:tcW w:w="143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Name of each exchange</w:t>
              <w:br/>
              <w:t>on which registered</w:t>
            </w:r>
          </w:p>
        </w:tc>
      </w:tr>
      <w:tr>
        <w:trPr/>
        <w:tc>
          <w:tcPr>
            <w:tcW w:w="3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LPRO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The Nasdaq Stock Market LLC</w:t>
            </w:r>
          </w:p>
        </w:tc>
      </w:tr>
    </w:tbl>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68" w:type="dxa"/>
        <w:jc w:val="left"/>
        <w:tblInd w:w="0" w:type="dxa"/>
        <w:tblLayout w:type="fixed"/>
        <w:tblCellMar>
          <w:top w:w="28" w:type="dxa"/>
          <w:left w:w="28" w:type="dxa"/>
          <w:bottom w:w="28" w:type="dxa"/>
          <w:right w:w="28" w:type="dxa"/>
        </w:tblCellMar>
      </w:tblPr>
      <w:tblGrid>
        <w:gridCol w:w="739"/>
        <w:gridCol w:w="648"/>
        <w:gridCol w:w="652"/>
        <w:gridCol w:w="109"/>
        <w:gridCol w:w="109"/>
        <w:gridCol w:w="109"/>
        <w:gridCol w:w="809"/>
        <w:gridCol w:w="809"/>
        <w:gridCol w:w="81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288" w:before="200" w:after="283"/>
        <w:ind w:left="0" w:right="0" w:firstLine="540"/>
        <w:jc w:val="both"/>
        <w:rPr>
          <w:rFonts w:ascii="Arial;sans-serif" w:hAnsi="Arial;sans-serif"/>
          <w:b w:val="false"/>
          <w:color w:val="000000"/>
          <w:sz w:val="20"/>
        </w:rPr>
      </w:pPr>
      <w:r>
        <w:rPr>
          <w:rFonts w:ascii="Arial;sans-serif" w:hAnsi="Arial;sans-serif"/>
          <w:b w:val="false"/>
          <w:color w:val="000000"/>
          <w:sz w:val="20"/>
        </w:rPr>
        <w:t>Indicate by check mark whether the registrant is a shell company (as defined in Rule 12b-2 of the Exchange Act).    Yes  ☐    No  ☒</w:t>
      </w:r>
    </w:p>
    <w:p>
      <w:pPr>
        <w:pStyle w:val="TextBody"/>
        <w:bidi w:val="0"/>
        <w:spacing w:lineRule="auto" w:line="288" w:before="200" w:after="283"/>
        <w:ind w:left="0" w:right="0" w:firstLine="540"/>
        <w:jc w:val="both"/>
        <w:rPr/>
      </w:pPr>
      <w:r>
        <w:rPr>
          <w:rFonts w:ascii="Arial;sans-serif" w:hAnsi="Arial;sans-serif"/>
          <w:b w:val="false"/>
          <w:color w:val="000000"/>
          <w:sz w:val="20"/>
        </w:rPr>
        <w:t xml:space="preserve">As of November 4, 2025, the registrant </w:t>
      </w:r>
      <w:r>
        <w:rPr>
          <w:rFonts w:ascii="Arial;sans-serif" w:hAnsi="Arial;sans-serif"/>
          <w:b w:val="false"/>
          <w:color w:val="000000"/>
          <w:sz w:val="20"/>
          <w:shd w:fill="FFFFFF" w:val="clear"/>
        </w:rPr>
        <w:t>had</w:t>
      </w:r>
      <w:r>
        <w:rPr>
          <w:color w:val="000000"/>
        </w:rPr>
        <w:t xml:space="preserve"> </w:t>
      </w:r>
      <w:r>
        <w:rPr>
          <w:rFonts w:ascii="Arial;sans-serif" w:hAnsi="Arial;sans-serif"/>
          <w:b w:val="false"/>
          <w:color w:val="000000"/>
          <w:sz w:val="20"/>
        </w:rPr>
        <w:t>118,189,443</w:t>
      </w:r>
      <w:r>
        <w:rPr>
          <w:color w:val="000000"/>
          <w:shd w:fill="FFFFFF" w:val="clear"/>
        </w:rPr>
        <w:t xml:space="preserve"> </w:t>
      </w:r>
      <w:r>
        <w:rPr>
          <w:rFonts w:ascii="Arial;sans-serif" w:hAnsi="Arial;sans-serif"/>
          <w:b w:val="false"/>
          <w:color w:val="000000"/>
          <w:sz w:val="20"/>
          <w:shd w:fill="FFFFFF" w:val="clear"/>
        </w:rPr>
        <w:t>sh</w:t>
      </w:r>
      <w:r>
        <w:rPr>
          <w:rFonts w:ascii="Arial;sans-serif" w:hAnsi="Arial;sans-serif"/>
          <w:b w:val="false"/>
          <w:color w:val="000000"/>
          <w:sz w:val="20"/>
        </w:rPr>
        <w:t>ares of common stock, $0.01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13360"/>
                <wp:effectExtent l="0" t="0" r="0" b="0"/>
                <wp:wrapNone/>
                <wp:docPr id="2" name="Frame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both"/>
                        <w:rPr/>
                      </w:pPr>
                      <w:r>
                        <w:rPr/>
                      </w:r>
                    </w:p>
                  </w:txbxContent>
                </v:textbox>
                <w10:wrap type="none"/>
              </v:rect>
            </w:pict>
          </mc:Fallback>
        </mc:AlternateContent>
      </w:r>
    </w:p>
    <w:p>
      <w:pPr>
        <w:pStyle w:val="TextBody"/>
        <w:bidi w:val="0"/>
        <w:spacing w:before="60" w:after="283"/>
        <w:jc w:val="both"/>
        <w:rPr/>
      </w:pPr>
      <w:r>
        <w:rPr/>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FORM 10-Q</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TABLE OF CONTENTS</w:t>
      </w:r>
    </w:p>
    <w:tbl>
      <w:tblPr>
        <w:tblW w:w="9766" w:type="dxa"/>
        <w:jc w:val="left"/>
        <w:tblInd w:w="0" w:type="dxa"/>
        <w:tblLayout w:type="fixed"/>
        <w:tblCellMar>
          <w:top w:w="28" w:type="dxa"/>
          <w:left w:w="28" w:type="dxa"/>
          <w:bottom w:w="28" w:type="dxa"/>
          <w:right w:w="28" w:type="dxa"/>
        </w:tblCellMar>
      </w:tblPr>
      <w:tblGrid>
        <w:gridCol w:w="505"/>
        <w:gridCol w:w="443"/>
        <w:gridCol w:w="448"/>
        <w:gridCol w:w="2612"/>
        <w:gridCol w:w="2612"/>
        <w:gridCol w:w="2620"/>
        <w:gridCol w:w="154"/>
        <w:gridCol w:w="154"/>
        <w:gridCol w:w="218"/>
      </w:tblGrid>
      <w:tr>
        <w:trPr/>
        <w:tc>
          <w:tcPr>
            <w:tcW w:w="50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Page</w:t>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3ffadfac5b43cb82c32b479edcc3ef_10">
              <w:r>
                <w:rPr>
                  <w:rStyle w:val="InternetLink"/>
                  <w:rFonts w:ascii="Arial;sans-serif" w:hAnsi="Arial;sans-serif"/>
                  <w:b/>
                  <w:strike w:val="false"/>
                  <w:dstrike w:val="false"/>
                  <w:color w:val="000000"/>
                  <w:sz w:val="20"/>
                  <w:u w:val="none"/>
                  <w:effect w:val="none"/>
                </w:rPr>
                <w:t>PART I.</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3ffadfac5b43cb82c32b479edcc3ef_10">
              <w:r>
                <w:rPr>
                  <w:rStyle w:val="InternetLink"/>
                  <w:rFonts w:ascii="Arial;sans-serif" w:hAnsi="Arial;sans-serif"/>
                  <w:b w:val="false"/>
                  <w:color w:val="0000FF"/>
                  <w:sz w:val="20"/>
                  <w:u w:val="single"/>
                </w:rPr>
                <w:t>Financial Information</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3ffadfac5b43cb82c32b479edcc3ef_13">
              <w:r>
                <w:rPr>
                  <w:rStyle w:val="InternetLink"/>
                  <w:rFonts w:ascii="Arial;sans-serif" w:hAnsi="Arial;sans-serif"/>
                  <w:b w:val="false"/>
                  <w:strike w:val="false"/>
                  <w:dstrike w:val="false"/>
                  <w:color w:val="000000"/>
                  <w:sz w:val="20"/>
                  <w:u w:val="none"/>
                  <w:effect w:val="none"/>
                </w:rPr>
                <w:t>2</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3ffadfac5b43cb82c32b479edcc3ef_13">
              <w:r>
                <w:rPr>
                  <w:rStyle w:val="InternetLink"/>
                  <w:rFonts w:ascii="Arial;sans-serif" w:hAnsi="Arial;sans-serif"/>
                  <w:b w:val="false"/>
                  <w:strike w:val="false"/>
                  <w:dstrike w:val="false"/>
                  <w:color w:val="000000"/>
                  <w:sz w:val="20"/>
                  <w:u w:val="none"/>
                  <w:effect w:val="none"/>
                </w:rPr>
                <w:t>Item 1.</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3ffadfac5b43cb82c32b479edcc3ef_13">
              <w:r>
                <w:rPr>
                  <w:rStyle w:val="InternetLink"/>
                  <w:rFonts w:ascii="Arial;sans-serif" w:hAnsi="Arial;sans-serif"/>
                  <w:b w:val="false"/>
                  <w:color w:val="0000FF"/>
                  <w:sz w:val="20"/>
                  <w:u w:val="single"/>
                </w:rPr>
                <w:t>Condensed Consolidated Financial Statements (Unaudited)</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3ffadfac5b43cb82c32b479edcc3ef_13">
              <w:r>
                <w:rPr>
                  <w:rStyle w:val="InternetLink"/>
                  <w:rFonts w:ascii="Arial;sans-serif" w:hAnsi="Arial;sans-serif"/>
                  <w:b w:val="false"/>
                  <w:strike w:val="false"/>
                  <w:dstrike w:val="false"/>
                  <w:color w:val="000000"/>
                  <w:sz w:val="20"/>
                  <w:u w:val="none"/>
                  <w:effect w:val="none"/>
                </w:rPr>
                <w:t>2</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3ffadfac5b43cb82c32b479edcc3ef_16">
              <w:r>
                <w:rPr>
                  <w:rStyle w:val="InternetLink"/>
                  <w:rFonts w:ascii="Arial;sans-serif" w:hAnsi="Arial;sans-serif"/>
                  <w:b w:val="false"/>
                  <w:color w:val="0000FF"/>
                  <w:sz w:val="20"/>
                  <w:u w:val="single"/>
                </w:rPr>
                <w:t>Condensed Consolidated Balance Sheets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3ffadfac5b43cb82c32b479edcc3ef_16">
              <w:r>
                <w:rPr>
                  <w:rStyle w:val="InternetLink"/>
                  <w:rFonts w:ascii="Arial;sans-serif" w:hAnsi="Arial;sans-serif"/>
                  <w:b w:val="false"/>
                  <w:strike w:val="false"/>
                  <w:dstrike w:val="false"/>
                  <w:color w:val="000000"/>
                  <w:sz w:val="20"/>
                  <w:u w:val="none"/>
                  <w:effect w:val="none"/>
                </w:rPr>
                <w:t>3</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3ffadfac5b43cb82c32b479edcc3ef_22">
              <w:r>
                <w:rPr>
                  <w:rStyle w:val="InternetLink"/>
                  <w:rFonts w:ascii="Arial;sans-serif" w:hAnsi="Arial;sans-serif"/>
                  <w:b w:val="false"/>
                  <w:color w:val="0000FF"/>
                  <w:sz w:val="20"/>
                  <w:u w:val="single"/>
                </w:rPr>
                <w:t>Condensed Consolidated Statements of Operations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3ffadfac5b43cb82c32b479edcc3ef_22">
              <w:r>
                <w:rPr>
                  <w:rStyle w:val="InternetLink"/>
                  <w:rFonts w:ascii="Arial;sans-serif" w:hAnsi="Arial;sans-serif"/>
                  <w:b w:val="false"/>
                  <w:strike w:val="false"/>
                  <w:dstrike w:val="false"/>
                  <w:color w:val="000000"/>
                  <w:sz w:val="20"/>
                  <w:u w:val="none"/>
                  <w:effect w:val="none"/>
                </w:rPr>
                <w:t>4</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3ffadfac5b43cb82c32b479edcc3ef_25">
              <w:r>
                <w:rPr>
                  <w:rStyle w:val="InternetLink"/>
                  <w:rFonts w:ascii="Arial;sans-serif" w:hAnsi="Arial;sans-serif"/>
                  <w:b w:val="false"/>
                  <w:color w:val="0000FF"/>
                  <w:sz w:val="20"/>
                  <w:u w:val="single"/>
                </w:rPr>
                <w:t>Condensed Consolidated Statements of Changes in Stockholders’ Equity</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3ffadfac5b43cb82c32b479edcc3ef_25">
              <w:r>
                <w:rPr>
                  <w:rStyle w:val="InternetLink"/>
                  <w:rFonts w:ascii="Arial;sans-serif" w:hAnsi="Arial;sans-serif"/>
                  <w:b w:val="false"/>
                  <w:strike w:val="false"/>
                  <w:dstrike w:val="false"/>
                  <w:color w:val="000000"/>
                  <w:sz w:val="20"/>
                  <w:u w:val="none"/>
                  <w:effect w:val="none"/>
                </w:rPr>
                <w:t>5</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3ffadfac5b43cb82c32b479edcc3ef_28">
              <w:r>
                <w:rPr>
                  <w:rStyle w:val="InternetLink"/>
                  <w:rFonts w:ascii="Arial;sans-serif" w:hAnsi="Arial;sans-serif"/>
                  <w:b w:val="false"/>
                  <w:color w:val="0000FF"/>
                  <w:sz w:val="20"/>
                  <w:u w:val="single"/>
                </w:rPr>
                <w:t>Condensed Consolidated Statements of Cash Flows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3ffadfac5b43cb82c32b479edcc3ef_28">
              <w:r>
                <w:rPr>
                  <w:rStyle w:val="InternetLink"/>
                  <w:rFonts w:ascii="Arial;sans-serif" w:hAnsi="Arial;sans-serif"/>
                  <w:b w:val="false"/>
                  <w:strike w:val="false"/>
                  <w:dstrike w:val="false"/>
                  <w:color w:val="000000"/>
                  <w:sz w:val="20"/>
                  <w:u w:val="none"/>
                  <w:effect w:val="none"/>
                </w:rPr>
                <w:t>7</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3ffadfac5b43cb82c32b479edcc3ef_31">
              <w:r>
                <w:rPr>
                  <w:rStyle w:val="InternetLink"/>
                  <w:rFonts w:ascii="Arial;sans-serif" w:hAnsi="Arial;sans-serif"/>
                  <w:b w:val="false"/>
                  <w:color w:val="0000FF"/>
                  <w:sz w:val="20"/>
                  <w:u w:val="single"/>
                </w:rPr>
                <w:t>Notes to Condensed Consolidated Financial Statements (Unaudited)</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3ffadfac5b43cb82c32b479edcc3ef_31">
              <w:r>
                <w:rPr>
                  <w:rStyle w:val="InternetLink"/>
                  <w:rFonts w:ascii="Arial;sans-serif" w:hAnsi="Arial;sans-serif"/>
                  <w:b w:val="false"/>
                  <w:strike w:val="false"/>
                  <w:dstrike w:val="false"/>
                  <w:color w:val="000000"/>
                  <w:sz w:val="20"/>
                  <w:u w:val="none"/>
                  <w:effect w:val="none"/>
                </w:rPr>
                <w:t>8</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3ffadfac5b43cb82c32b479edcc3ef_88">
              <w:r>
                <w:rPr>
                  <w:rStyle w:val="InternetLink"/>
                  <w:rFonts w:ascii="Arial;sans-serif" w:hAnsi="Arial;sans-serif"/>
                  <w:b w:val="false"/>
                  <w:strike w:val="false"/>
                  <w:dstrike w:val="false"/>
                  <w:color w:val="000000"/>
                  <w:sz w:val="20"/>
                  <w:u w:val="none"/>
                  <w:effect w:val="none"/>
                </w:rPr>
                <w:t>Item 2.</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3ffadfac5b43cb82c32b479edcc3ef_88">
              <w:r>
                <w:rPr>
                  <w:rStyle w:val="InternetLink"/>
                  <w:rFonts w:ascii="Arial;sans-serif" w:hAnsi="Arial;sans-serif"/>
                  <w:b w:val="false"/>
                  <w:color w:val="0000FF"/>
                  <w:sz w:val="20"/>
                  <w:u w:val="single"/>
                </w:rPr>
                <w:t>Management’s Discussion and Analysis of Financial Condition and Results of Operations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3ffadfac5b43cb82c32b479edcc3ef_88">
              <w:r>
                <w:rPr>
                  <w:rStyle w:val="InternetLink"/>
                  <w:rFonts w:ascii="Arial;sans-serif" w:hAnsi="Arial;sans-serif"/>
                  <w:b w:val="false"/>
                  <w:strike w:val="false"/>
                  <w:dstrike w:val="false"/>
                  <w:color w:val="000000"/>
                  <w:sz w:val="20"/>
                  <w:u w:val="none"/>
                  <w:effect w:val="none"/>
                </w:rPr>
                <w:t>18</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3ffadfac5b43cb82c32b479edcc3ef_145">
              <w:r>
                <w:rPr>
                  <w:rStyle w:val="InternetLink"/>
                  <w:rFonts w:ascii="Arial;sans-serif" w:hAnsi="Arial;sans-serif"/>
                  <w:b w:val="false"/>
                  <w:strike w:val="false"/>
                  <w:dstrike w:val="false"/>
                  <w:color w:val="000000"/>
                  <w:sz w:val="20"/>
                  <w:u w:val="none"/>
                  <w:effect w:val="none"/>
                </w:rPr>
                <w:t>Item 3.</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3ffadfac5b43cb82c32b479edcc3ef_145">
              <w:r>
                <w:rPr>
                  <w:rStyle w:val="InternetLink"/>
                  <w:rFonts w:ascii="Arial;sans-serif" w:hAnsi="Arial;sans-serif"/>
                  <w:b w:val="false"/>
                  <w:color w:val="0000FF"/>
                  <w:sz w:val="20"/>
                  <w:u w:val="single"/>
                </w:rPr>
                <w:t>Quantitative and Qualitative Disclosures about Market Risk</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3ffadfac5b43cb82c32b479edcc3ef_145">
              <w:r>
                <w:rPr>
                  <w:rStyle w:val="InternetLink"/>
                  <w:rFonts w:ascii="Arial;sans-serif" w:hAnsi="Arial;sans-serif"/>
                  <w:b w:val="false"/>
                  <w:strike w:val="false"/>
                  <w:dstrike w:val="false"/>
                  <w:color w:val="000000"/>
                  <w:sz w:val="20"/>
                  <w:u w:val="none"/>
                  <w:effect w:val="none"/>
                </w:rPr>
                <w:t>32</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3ffadfac5b43cb82c32b479edcc3ef_148">
              <w:r>
                <w:rPr>
                  <w:rStyle w:val="InternetLink"/>
                  <w:rFonts w:ascii="Arial;sans-serif" w:hAnsi="Arial;sans-serif"/>
                  <w:b w:val="false"/>
                  <w:strike w:val="false"/>
                  <w:dstrike w:val="false"/>
                  <w:color w:val="000000"/>
                  <w:sz w:val="20"/>
                  <w:u w:val="none"/>
                  <w:effect w:val="none"/>
                </w:rPr>
                <w:t>Item 4.</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3ffadfac5b43cb82c32b479edcc3ef_148">
              <w:r>
                <w:rPr>
                  <w:rStyle w:val="InternetLink"/>
                  <w:rFonts w:ascii="Arial;sans-serif" w:hAnsi="Arial;sans-serif"/>
                  <w:b w:val="false"/>
                  <w:color w:val="0000FF"/>
                  <w:sz w:val="20"/>
                  <w:u w:val="single"/>
                </w:rPr>
                <w:t>Controls and Procedures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3ffadfac5b43cb82c32b479edcc3ef_148">
              <w:r>
                <w:rPr>
                  <w:rStyle w:val="InternetLink"/>
                  <w:rFonts w:ascii="Arial;sans-serif" w:hAnsi="Arial;sans-serif"/>
                  <w:b w:val="false"/>
                  <w:strike w:val="false"/>
                  <w:dstrike w:val="false"/>
                  <w:color w:val="000000"/>
                  <w:sz w:val="20"/>
                  <w:u w:val="none"/>
                  <w:effect w:val="none"/>
                </w:rPr>
                <w:t>33</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3ffadfac5b43cb82c32b479edcc3ef_151">
              <w:r>
                <w:rPr>
                  <w:rStyle w:val="InternetLink"/>
                  <w:rFonts w:ascii="Arial;sans-serif" w:hAnsi="Arial;sans-serif"/>
                  <w:b/>
                  <w:strike w:val="false"/>
                  <w:dstrike w:val="false"/>
                  <w:color w:val="000000"/>
                  <w:sz w:val="20"/>
                  <w:u w:val="none"/>
                  <w:effect w:val="none"/>
                </w:rPr>
                <w:t>PART II.</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3ffadfac5b43cb82c32b479edcc3ef_151">
              <w:r>
                <w:rPr>
                  <w:rStyle w:val="InternetLink"/>
                  <w:rFonts w:ascii="Arial;sans-serif" w:hAnsi="Arial;sans-serif"/>
                  <w:b w:val="false"/>
                  <w:color w:val="0000FF"/>
                  <w:sz w:val="20"/>
                  <w:u w:val="single"/>
                </w:rPr>
                <w:t>Other Information</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3ffadfac5b43cb82c32b479edcc3ef_151">
              <w:r>
                <w:rPr>
                  <w:rStyle w:val="InternetLink"/>
                  <w:rFonts w:ascii="Arial;sans-serif" w:hAnsi="Arial;sans-serif"/>
                  <w:b w:val="false"/>
                  <w:strike w:val="false"/>
                  <w:dstrike w:val="false"/>
                  <w:color w:val="000000"/>
                  <w:sz w:val="20"/>
                  <w:u w:val="none"/>
                  <w:effect w:val="none"/>
                </w:rPr>
                <w:t>34</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3ffadfac5b43cb82c32b479edcc3ef_154">
              <w:r>
                <w:rPr>
                  <w:rStyle w:val="InternetLink"/>
                  <w:rFonts w:ascii="Arial;sans-serif" w:hAnsi="Arial;sans-serif"/>
                  <w:b w:val="false"/>
                  <w:strike w:val="false"/>
                  <w:dstrike w:val="false"/>
                  <w:color w:val="000000"/>
                  <w:sz w:val="20"/>
                  <w:u w:val="none"/>
                  <w:effect w:val="none"/>
                </w:rPr>
                <w:t>Item 1.</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3ffadfac5b43cb82c32b479edcc3ef_154">
              <w:r>
                <w:rPr>
                  <w:rStyle w:val="InternetLink"/>
                  <w:rFonts w:ascii="Arial;sans-serif" w:hAnsi="Arial;sans-serif"/>
                  <w:b w:val="false"/>
                  <w:color w:val="0000FF"/>
                  <w:sz w:val="20"/>
                  <w:u w:val="single"/>
                </w:rPr>
                <w:t>Legal Proceedings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3ffadfac5b43cb82c32b479edcc3ef_154">
              <w:r>
                <w:rPr>
                  <w:rStyle w:val="InternetLink"/>
                  <w:rFonts w:ascii="Arial;sans-serif" w:hAnsi="Arial;sans-serif"/>
                  <w:b w:val="false"/>
                  <w:strike w:val="false"/>
                  <w:dstrike w:val="false"/>
                  <w:color w:val="000000"/>
                  <w:sz w:val="20"/>
                  <w:u w:val="none"/>
                  <w:effect w:val="none"/>
                </w:rPr>
                <w:t>34</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3ffadfac5b43cb82c32b479edcc3ef_157">
              <w:r>
                <w:rPr>
                  <w:rStyle w:val="InternetLink"/>
                  <w:rFonts w:ascii="Arial;sans-serif" w:hAnsi="Arial;sans-serif"/>
                  <w:b w:val="false"/>
                  <w:strike w:val="false"/>
                  <w:dstrike w:val="false"/>
                  <w:color w:val="000000"/>
                  <w:sz w:val="20"/>
                  <w:u w:val="none"/>
                  <w:effect w:val="none"/>
                </w:rPr>
                <w:t>Item 1A.</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3ffadfac5b43cb82c32b479edcc3ef_157">
              <w:r>
                <w:rPr>
                  <w:rStyle w:val="InternetLink"/>
                  <w:rFonts w:ascii="Arial;sans-serif" w:hAnsi="Arial;sans-serif"/>
                  <w:b w:val="false"/>
                  <w:color w:val="0000FF"/>
                  <w:sz w:val="20"/>
                  <w:u w:val="single"/>
                </w:rPr>
                <w:t>Risk Factors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3ffadfac5b43cb82c32b479edcc3ef_157">
              <w:r>
                <w:rPr>
                  <w:rStyle w:val="InternetLink"/>
                  <w:rFonts w:ascii="Arial;sans-serif" w:hAnsi="Arial;sans-serif"/>
                  <w:b w:val="false"/>
                  <w:strike w:val="false"/>
                  <w:dstrike w:val="false"/>
                  <w:color w:val="000000"/>
                  <w:sz w:val="20"/>
                  <w:u w:val="none"/>
                  <w:effect w:val="none"/>
                </w:rPr>
                <w:t>34</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3ffadfac5b43cb82c32b479edcc3ef_160">
              <w:r>
                <w:rPr>
                  <w:rStyle w:val="InternetLink"/>
                  <w:rFonts w:ascii="Arial;sans-serif" w:hAnsi="Arial;sans-serif"/>
                  <w:b w:val="false"/>
                  <w:strike w:val="false"/>
                  <w:dstrike w:val="false"/>
                  <w:color w:val="000000"/>
                  <w:sz w:val="20"/>
                  <w:u w:val="none"/>
                  <w:effect w:val="none"/>
                </w:rPr>
                <w:t>Item 2.</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3ffadfac5b43cb82c32b479edcc3ef_160">
              <w:r>
                <w:rPr>
                  <w:rStyle w:val="InternetLink"/>
                  <w:rFonts w:ascii="Arial;sans-serif" w:hAnsi="Arial;sans-serif"/>
                  <w:b w:val="false"/>
                  <w:color w:val="0000FF"/>
                  <w:sz w:val="20"/>
                  <w:u w:val="single"/>
                </w:rPr>
                <w:t>Unregistered Sales of Equity Securities and Use of Proceeds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3ffadfac5b43cb82c32b479edcc3ef_160">
              <w:r>
                <w:rPr>
                  <w:rStyle w:val="InternetLink"/>
                  <w:rFonts w:ascii="Arial;sans-serif" w:hAnsi="Arial;sans-serif"/>
                  <w:b w:val="false"/>
                  <w:strike w:val="false"/>
                  <w:dstrike w:val="false"/>
                  <w:color w:val="000000"/>
                  <w:sz w:val="20"/>
                  <w:u w:val="none"/>
                  <w:effect w:val="none"/>
                </w:rPr>
                <w:t>35</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3ffadfac5b43cb82c32b479edcc3ef_163">
              <w:r>
                <w:rPr>
                  <w:rStyle w:val="InternetLink"/>
                  <w:rFonts w:ascii="Arial;sans-serif" w:hAnsi="Arial;sans-serif"/>
                  <w:b w:val="false"/>
                  <w:strike w:val="false"/>
                  <w:dstrike w:val="false"/>
                  <w:color w:val="000000"/>
                  <w:sz w:val="20"/>
                  <w:u w:val="none"/>
                  <w:effect w:val="none"/>
                </w:rPr>
                <w:t>Item 3.</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3ffadfac5b43cb82c32b479edcc3ef_163">
              <w:r>
                <w:rPr>
                  <w:rStyle w:val="InternetLink"/>
                  <w:rFonts w:ascii="Arial;sans-serif" w:hAnsi="Arial;sans-serif"/>
                  <w:b w:val="false"/>
                  <w:color w:val="0000FF"/>
                  <w:sz w:val="20"/>
                  <w:u w:val="single"/>
                </w:rPr>
                <w:t>Defaults Upon Senior Securities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3ffadfac5b43cb82c32b479edcc3ef_163">
              <w:r>
                <w:rPr>
                  <w:rStyle w:val="InternetLink"/>
                  <w:rFonts w:ascii="Arial;sans-serif" w:hAnsi="Arial;sans-serif"/>
                  <w:b w:val="false"/>
                  <w:strike w:val="false"/>
                  <w:dstrike w:val="false"/>
                  <w:color w:val="000000"/>
                  <w:sz w:val="20"/>
                  <w:u w:val="none"/>
                  <w:effect w:val="none"/>
                </w:rPr>
                <w:t>35</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3ffadfac5b43cb82c32b479edcc3ef_166">
              <w:r>
                <w:rPr>
                  <w:rStyle w:val="InternetLink"/>
                  <w:rFonts w:ascii="Arial;sans-serif" w:hAnsi="Arial;sans-serif"/>
                  <w:b w:val="false"/>
                  <w:strike w:val="false"/>
                  <w:dstrike w:val="false"/>
                  <w:color w:val="000000"/>
                  <w:sz w:val="20"/>
                  <w:u w:val="none"/>
                  <w:effect w:val="none"/>
                </w:rPr>
                <w:t>Item 4.</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3ffadfac5b43cb82c32b479edcc3ef_166">
              <w:r>
                <w:rPr>
                  <w:rStyle w:val="InternetLink"/>
                  <w:rFonts w:ascii="Arial;sans-serif" w:hAnsi="Arial;sans-serif"/>
                  <w:b w:val="false"/>
                  <w:color w:val="0000FF"/>
                  <w:sz w:val="20"/>
                  <w:u w:val="single"/>
                </w:rPr>
                <w:t>Mine Safety Disclosures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3ffadfac5b43cb82c32b479edcc3ef_166">
              <w:r>
                <w:rPr>
                  <w:rStyle w:val="InternetLink"/>
                  <w:rFonts w:ascii="Arial;sans-serif" w:hAnsi="Arial;sans-serif"/>
                  <w:b w:val="false"/>
                  <w:strike w:val="false"/>
                  <w:dstrike w:val="false"/>
                  <w:color w:val="000000"/>
                  <w:sz w:val="20"/>
                  <w:u w:val="none"/>
                  <w:effect w:val="none"/>
                </w:rPr>
                <w:t>35</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3ffadfac5b43cb82c32b479edcc3ef_169">
              <w:r>
                <w:rPr>
                  <w:rStyle w:val="InternetLink"/>
                  <w:rFonts w:ascii="Arial;sans-serif" w:hAnsi="Arial;sans-serif"/>
                  <w:b w:val="false"/>
                  <w:strike w:val="false"/>
                  <w:dstrike w:val="false"/>
                  <w:color w:val="000000"/>
                  <w:sz w:val="20"/>
                  <w:u w:val="none"/>
                  <w:effect w:val="none"/>
                </w:rPr>
                <w:t>Item 5.</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3ffadfac5b43cb82c32b479edcc3ef_169">
              <w:r>
                <w:rPr>
                  <w:rStyle w:val="InternetLink"/>
                  <w:rFonts w:ascii="Arial;sans-serif" w:hAnsi="Arial;sans-serif"/>
                  <w:b w:val="false"/>
                  <w:color w:val="0000FF"/>
                  <w:sz w:val="20"/>
                  <w:u w:val="single"/>
                </w:rPr>
                <w:t>Other Information</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3ffadfac5b43cb82c32b479edcc3ef_169">
              <w:r>
                <w:rPr>
                  <w:rStyle w:val="InternetLink"/>
                  <w:rFonts w:ascii="Arial;sans-serif" w:hAnsi="Arial;sans-serif"/>
                  <w:b w:val="false"/>
                  <w:strike w:val="false"/>
                  <w:dstrike w:val="false"/>
                  <w:color w:val="000000"/>
                  <w:sz w:val="20"/>
                  <w:u w:val="none"/>
                  <w:effect w:val="none"/>
                </w:rPr>
                <w:t>36</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3ffadfac5b43cb82c32b479edcc3ef_172">
              <w:r>
                <w:rPr>
                  <w:rStyle w:val="InternetLink"/>
                  <w:rFonts w:ascii="Arial;sans-serif" w:hAnsi="Arial;sans-serif"/>
                  <w:b w:val="false"/>
                  <w:strike w:val="false"/>
                  <w:dstrike w:val="false"/>
                  <w:color w:val="000000"/>
                  <w:sz w:val="20"/>
                  <w:u w:val="none"/>
                  <w:effect w:val="none"/>
                </w:rPr>
                <w:t>Item 6.</w:t>
              </w:r>
            </w:hyperlink>
          </w:p>
        </w:tc>
        <w:tc>
          <w:tcPr>
            <w:tcW w:w="78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3ffadfac5b43cb82c32b479edcc3ef_172">
              <w:r>
                <w:rPr>
                  <w:rStyle w:val="InternetLink"/>
                  <w:rFonts w:ascii="Arial;sans-serif" w:hAnsi="Arial;sans-serif"/>
                  <w:b w:val="false"/>
                  <w:color w:val="0000FF"/>
                  <w:sz w:val="20"/>
                  <w:u w:val="single"/>
                </w:rPr>
                <w:t>Exhibits</w:t>
              </w:r>
            </w:hyperlink>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3ffadfac5b43cb82c32b479edcc3ef_172">
              <w:r>
                <w:rPr>
                  <w:rStyle w:val="InternetLink"/>
                  <w:rFonts w:ascii="Arial;sans-serif" w:hAnsi="Arial;sans-serif"/>
                  <w:b w:val="false"/>
                  <w:strike w:val="false"/>
                  <w:dstrike w:val="false"/>
                  <w:color w:val="000000"/>
                  <w:sz w:val="20"/>
                  <w:u w:val="none"/>
                  <w:effect w:val="none"/>
                </w:rPr>
                <w:t>37</w:t>
              </w:r>
            </w:hyperlink>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3ffadfac5b43cb82c32b479edcc3ef_175">
              <w:r>
                <w:rPr>
                  <w:rStyle w:val="InternetLink"/>
                  <w:rFonts w:ascii="Arial;sans-serif" w:hAnsi="Arial;sans-serif"/>
                  <w:b w:val="false"/>
                  <w:color w:val="0000FF"/>
                  <w:sz w:val="20"/>
                  <w:u w:val="single"/>
                </w:rPr>
                <w:t>SIGNATURES</w:t>
              </w:r>
            </w:hyperlink>
          </w:p>
        </w:tc>
        <w:tc>
          <w:tcPr>
            <w:tcW w:w="7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3ffadfac5b43cb82c32b479edcc3ef_175">
              <w:r>
                <w:rPr>
                  <w:rStyle w:val="InternetLink"/>
                  <w:rFonts w:ascii="Arial;sans-serif" w:hAnsi="Arial;sans-serif"/>
                  <w:b w:val="false"/>
                  <w:strike w:val="false"/>
                  <w:dstrike w:val="false"/>
                  <w:color w:val="000000"/>
                  <w:sz w:val="20"/>
                  <w:u w:val="none"/>
                  <w:effect w:val="none"/>
                </w:rPr>
                <w:t>38</w:t>
              </w:r>
            </w:hyperlink>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13360"/>
                <wp:effectExtent l="0" t="0" r="0" b="0"/>
                <wp:wrapNone/>
                <wp:docPr id="3" name="Frame2"/>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both"/>
                        <w:rPr/>
                      </w:pPr>
                      <w:r>
                        <w:rPr/>
                      </w:r>
                    </w:p>
                  </w:txbxContent>
                </v:textbox>
                <w10:wrap type="none"/>
              </v:rect>
            </w:pict>
          </mc:Fallback>
        </mc:AlternateContent>
      </w:r>
    </w:p>
    <w:p>
      <w:pPr>
        <w:pStyle w:val="TextBody"/>
        <w:bidi w:val="0"/>
        <w:spacing w:lineRule="auto" w:line="288" w:before="60" w:after="283"/>
        <w:jc w:val="both"/>
        <w:rPr/>
      </w:pPr>
      <w:hyperlink w:anchor="i6a3ffadfac5b43cb82c32b479edcc3ef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84150"/>
                <wp:effectExtent l="0" t="0" r="0" b="0"/>
                <wp:wrapNone/>
                <wp:docPr id="4" name="Frame3"/>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60" w:after="283"/>
        <w:jc w:val="both"/>
        <w:rPr/>
      </w:pPr>
      <w:hyperlink w:anchor="i6a3ffadfac5b43cb82c32b479edcc3e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890"/>
        <w:gridCol w:w="2238"/>
        <w:gridCol w:w="2222"/>
        <w:gridCol w:w="224"/>
        <w:gridCol w:w="911"/>
        <w:gridCol w:w="115"/>
        <w:gridCol w:w="109"/>
        <w:gridCol w:w="109"/>
        <w:gridCol w:w="109"/>
        <w:gridCol w:w="220"/>
        <w:gridCol w:w="894"/>
        <w:gridCol w:w="164"/>
      </w:tblGrid>
      <w:tr>
        <w:trPr/>
        <w:tc>
          <w:tcPr>
            <w:tcW w:w="2890"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br/>
              <w:t>2024</w:t>
            </w:r>
          </w:p>
        </w:tc>
      </w:tr>
      <w:tr>
        <w:trPr/>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Assets</w:t>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Current assets</w:t>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222,134 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243,164 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10,760 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4,418 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5,055 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contract assets, net</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24,015 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9,973 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receivable</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4,015 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3,558 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3,215 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current assets</w:t>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272,568</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275,725</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Capitalized software development costs, net</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4,645 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5,386 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 net</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3,878 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Contract assets</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3,087 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5,094 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3,560 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5,556 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assets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287,651</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296,368</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12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Current liabilities</w:t>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5,166 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portion of debt</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Third-party claims administration liability</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10,797 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portion of excess profit share receipts</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19,346 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3,490 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current liabilities</w:t>
            </w:r>
          </w:p>
        </w:tc>
        <w:tc>
          <w:tcPr>
            <w:tcW w:w="11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48,759</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47,252</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Long-term debt, net of deferred financing costs</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126,852 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132,217 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3,273 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Excess profit share receipts</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30,001 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28,210 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6,601 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7,329 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liabilities</w:t>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214,826</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218,281</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Commitments and contingencies</w:t>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Stockholders’ equity</w:t>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Preferred stock, $0.01 par value; 10,000,000 shares authorized, none issued and outstanding</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Common stock, $0.01 par value; 550,000,000 shares authorized, 128,198,185 shares issued and 118,175,598 shares outstanding as of September 30, 2025 and 128,198,185 shares issued and 119,350,001 shares outstanding as of December 31, 2024</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496,827 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502,664 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(334,677)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(328,759)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Treasury stock at cost, 10,022,587 shares at September 30, 2025 and 8,848,184 shares at December 31, 2024</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(90,607)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(97,100)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stockholders’ equity</w:t>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72,825</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78,087</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287,651</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296,368</w:t>
            </w:r>
            <w:r>
              <w:rPr>
                <w:color w:val="000000"/>
              </w:rPr>
              <w:t>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84150"/>
                <wp:effectExtent l="0" t="0" r="0" b="0"/>
                <wp:wrapNone/>
                <wp:docPr id="5" name="Frame4"/>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60" w:after="283"/>
        <w:jc w:val="both"/>
        <w:rPr/>
      </w:pPr>
      <w:hyperlink w:anchor="i6a3ffadfac5b43cb82c32b479edcc3e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(In thousands, except per share data)</w:t>
      </w:r>
    </w:p>
    <w:p>
      <w:pPr>
        <w:pStyle w:val="TextBody"/>
        <w:bidi w:val="0"/>
        <w:spacing w:before="60" w:after="283"/>
        <w:jc w:val="center"/>
        <w:rPr/>
      </w:pPr>
      <w:r>
        <w:rPr/>
      </w:r>
    </w:p>
    <w:tbl>
      <w:tblPr>
        <w:tblW w:w="10205" w:type="dxa"/>
        <w:jc w:val="center"/>
        <w:tblInd w:w="0" w:type="dxa"/>
        <w:tblLayout w:type="fixed"/>
        <w:tblCellMar>
          <w:top w:w="28" w:type="dxa"/>
          <w:left w:w="28" w:type="dxa"/>
          <w:bottom w:w="28" w:type="dxa"/>
          <w:right w:w="28" w:type="dxa"/>
        </w:tblCellMar>
      </w:tblPr>
      <w:tblGrid>
        <w:gridCol w:w="1292"/>
        <w:gridCol w:w="1132"/>
        <w:gridCol w:w="1143"/>
        <w:gridCol w:w="272"/>
        <w:gridCol w:w="971"/>
        <w:gridCol w:w="140"/>
        <w:gridCol w:w="140"/>
        <w:gridCol w:w="140"/>
        <w:gridCol w:w="140"/>
        <w:gridCol w:w="272"/>
        <w:gridCol w:w="971"/>
        <w:gridCol w:w="140"/>
        <w:gridCol w:w="109"/>
        <w:gridCol w:w="109"/>
        <w:gridCol w:w="109"/>
        <w:gridCol w:w="261"/>
        <w:gridCol w:w="932"/>
        <w:gridCol w:w="135"/>
        <w:gridCol w:w="135"/>
        <w:gridCol w:w="135"/>
        <w:gridCol w:w="135"/>
        <w:gridCol w:w="261"/>
        <w:gridCol w:w="932"/>
        <w:gridCol w:w="199"/>
      </w:tblGrid>
      <w:tr>
        <w:trPr/>
        <w:tc>
          <w:tcPr>
            <w:tcW w:w="1292"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 September 30,</w:t>
            </w:r>
          </w:p>
        </w:tc>
      </w:tr>
      <w:tr>
        <w:trPr/>
        <w:tc>
          <w:tcPr>
            <w:tcW w:w="3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Revenue</w:t>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Program fees</w:t>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13,344 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14,161 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43,487 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43,306 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Profit share</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8,470 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6,822 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23,169 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30,037 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Claims administration and other service fees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2,355 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2,493 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7,216 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7,605 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revenue</w:t>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24,169</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23,476</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73,872</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80,948</w:t>
            </w: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Cost of services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5,318 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6,127 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16,911 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17,590 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Gross profit</w:t>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18,851</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17,349</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56,961</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63,358</w:t>
            </w: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expenses</w:t>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21,062 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9,594 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43,924 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33,318 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3,440 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4,897 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11,968 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13,260 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6,832 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3,601 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operating expenses</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26,552</w:t>
            </w: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15,483</w:t>
            </w: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62,724</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50,179</w:t>
            </w:r>
            <w:r>
              <w:rPr>
                <w:color w:val="000000"/>
              </w:rPr>
              <w:t>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income (loss)</w:t>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(7,701)</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1,866</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(5,763)</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13,179</w:t>
            </w: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(2,432)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(2,962)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(7,440)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(8,468)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2,363 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3,221 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7,220 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9,278 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Income (loss) before income taxes</w:t>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(7,585)</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2,125</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(5,798)</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13,989</w:t>
            </w: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4,563 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income (loss)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(7,569)</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1,437</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(5,918)</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9,426</w:t>
            </w: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income (loss) per common share</w:t>
            </w:r>
          </w:p>
        </w:tc>
        <w:tc>
          <w:tcPr>
            <w:tcW w:w="13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Weighted average common shares outstanding</w:t>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118,173 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119,253 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118,825 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119,129 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118,173 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119,481 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118,825 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119,428 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84150"/>
                <wp:effectExtent l="0" t="0" r="0" b="0"/>
                <wp:wrapNone/>
                <wp:docPr id="6" name="Frame5"/>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60" w:after="283"/>
        <w:jc w:val="both"/>
        <w:rPr/>
      </w:pPr>
      <w:hyperlink w:anchor="i6a3ffadfac5b43cb82c32b479edcc3e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Changes in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before="60" w:after="283"/>
        <w:jc w:val="center"/>
        <w:rPr/>
      </w:pPr>
      <w:r>
        <w:rPr/>
      </w:r>
    </w:p>
    <w:tbl>
      <w:tblPr>
        <w:tblW w:w="11689" w:type="dxa"/>
        <w:jc w:val="left"/>
        <w:tblInd w:w="0" w:type="dxa"/>
        <w:tblLayout w:type="fixed"/>
        <w:tblCellMar>
          <w:top w:w="28" w:type="dxa"/>
          <w:left w:w="28" w:type="dxa"/>
          <w:bottom w:w="28" w:type="dxa"/>
          <w:right w:w="28" w:type="dxa"/>
        </w:tblCellMar>
      </w:tblPr>
      <w:tblGrid>
        <w:gridCol w:w="666"/>
        <w:gridCol w:w="334"/>
        <w:gridCol w:w="336"/>
        <w:gridCol w:w="109"/>
        <w:gridCol w:w="109"/>
        <w:gridCol w:w="109"/>
        <w:gridCol w:w="428"/>
        <w:gridCol w:w="428"/>
        <w:gridCol w:w="241"/>
        <w:gridCol w:w="109"/>
        <w:gridCol w:w="109"/>
        <w:gridCol w:w="109"/>
        <w:gridCol w:w="211"/>
        <w:gridCol w:w="646"/>
        <w:gridCol w:w="109"/>
        <w:gridCol w:w="109"/>
        <w:gridCol w:w="109"/>
        <w:gridCol w:w="109"/>
        <w:gridCol w:w="211"/>
        <w:gridCol w:w="856"/>
        <w:gridCol w:w="109"/>
        <w:gridCol w:w="109"/>
        <w:gridCol w:w="109"/>
        <w:gridCol w:w="109"/>
        <w:gridCol w:w="237"/>
        <w:gridCol w:w="961"/>
        <w:gridCol w:w="123"/>
        <w:gridCol w:w="109"/>
        <w:gridCol w:w="109"/>
        <w:gridCol w:w="109"/>
        <w:gridCol w:w="375"/>
        <w:gridCol w:w="376"/>
        <w:gridCol w:w="241"/>
        <w:gridCol w:w="109"/>
        <w:gridCol w:w="109"/>
        <w:gridCol w:w="109"/>
        <w:gridCol w:w="211"/>
        <w:gridCol w:w="751"/>
        <w:gridCol w:w="109"/>
        <w:gridCol w:w="109"/>
        <w:gridCol w:w="109"/>
        <w:gridCol w:w="109"/>
        <w:gridCol w:w="272"/>
        <w:gridCol w:w="969"/>
        <w:gridCol w:w="200"/>
      </w:tblGrid>
      <w:tr>
        <w:trPr/>
        <w:tc>
          <w:tcPr>
            <w:tcW w:w="66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Additional</w:t>
              <w:br/>
              <w:t> 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Total Stockholders’</w:t>
              <w:br/>
              <w:t>Equity</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Amount</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128,198</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502,664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(328,759)</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(8,848)</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(97,100)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78,087</w:t>
            </w: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stock units issued, net of shares withheld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(758)</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128,198</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497,884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(328,142)</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(8,415)</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(91,195)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79,829</w:t>
            </w: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2,353 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stock units issued, net of shares withheld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(303)</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Shares repurchased, including excise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(3,966)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128,198</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495,415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(327,108)</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(10,026)</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(90,642)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78,947</w:t>
            </w:r>
            <w:r>
              <w:rPr>
                <w:color w:val="000000"/>
              </w:rPr>
              <w:t>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1,449 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stock units issued, net of 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(7,569)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(7,569)</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as of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128,198</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496,827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(334,677)</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(10,023)</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(90,607)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72,825</w:t>
            </w:r>
            <w:r>
              <w:rPr>
                <w:color w:val="000000"/>
              </w:rPr>
              <w:t>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89"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condensed consolidated financial statements.</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84150"/>
                <wp:effectExtent l="0" t="0" r="0" b="0"/>
                <wp:wrapNone/>
                <wp:docPr id="7" name="Frame6"/>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60" w:after="283"/>
        <w:jc w:val="both"/>
        <w:rPr/>
      </w:pPr>
      <w:hyperlink w:anchor="i6a3ffadfac5b43cb82c32b479edcc3ef_7">
        <w:r>
          <w:rPr>
            <w:rStyle w:val="InternetLink"/>
            <w:rFonts w:ascii="Arial;sans-serif" w:hAnsi="Arial;sans-serif"/>
            <w:b w:val="false"/>
            <w:color w:val="0000FF"/>
            <w:sz w:val="20"/>
            <w:u w:val="single"/>
          </w:rPr>
          <w:t>Table of Contents</w:t>
        </w:r>
      </w:hyperlink>
    </w:p>
    <w:tbl>
      <w:tblPr>
        <w:tblW w:w="11689" w:type="dxa"/>
        <w:jc w:val="left"/>
        <w:tblInd w:w="0" w:type="dxa"/>
        <w:tblLayout w:type="fixed"/>
        <w:tblCellMar>
          <w:top w:w="28" w:type="dxa"/>
          <w:left w:w="28" w:type="dxa"/>
          <w:bottom w:w="28" w:type="dxa"/>
          <w:right w:w="28" w:type="dxa"/>
        </w:tblCellMar>
      </w:tblPr>
      <w:tblGrid>
        <w:gridCol w:w="666"/>
        <w:gridCol w:w="334"/>
        <w:gridCol w:w="336"/>
        <w:gridCol w:w="109"/>
        <w:gridCol w:w="109"/>
        <w:gridCol w:w="109"/>
        <w:gridCol w:w="428"/>
        <w:gridCol w:w="428"/>
        <w:gridCol w:w="241"/>
        <w:gridCol w:w="109"/>
        <w:gridCol w:w="109"/>
        <w:gridCol w:w="109"/>
        <w:gridCol w:w="211"/>
        <w:gridCol w:w="646"/>
        <w:gridCol w:w="109"/>
        <w:gridCol w:w="109"/>
        <w:gridCol w:w="109"/>
        <w:gridCol w:w="109"/>
        <w:gridCol w:w="211"/>
        <w:gridCol w:w="856"/>
        <w:gridCol w:w="109"/>
        <w:gridCol w:w="109"/>
        <w:gridCol w:w="109"/>
        <w:gridCol w:w="109"/>
        <w:gridCol w:w="237"/>
        <w:gridCol w:w="961"/>
        <w:gridCol w:w="123"/>
        <w:gridCol w:w="109"/>
        <w:gridCol w:w="109"/>
        <w:gridCol w:w="109"/>
        <w:gridCol w:w="323"/>
        <w:gridCol w:w="323"/>
        <w:gridCol w:w="241"/>
        <w:gridCol w:w="109"/>
        <w:gridCol w:w="109"/>
        <w:gridCol w:w="109"/>
        <w:gridCol w:w="211"/>
        <w:gridCol w:w="856"/>
        <w:gridCol w:w="109"/>
        <w:gridCol w:w="109"/>
        <w:gridCol w:w="109"/>
        <w:gridCol w:w="109"/>
        <w:gridCol w:w="249"/>
        <w:gridCol w:w="1010"/>
        <w:gridCol w:w="182"/>
      </w:tblGrid>
      <w:tr>
        <w:trPr/>
        <w:tc>
          <w:tcPr>
            <w:tcW w:w="66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1689"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OPEN LENDING CORPORATION</w:t>
            </w:r>
          </w:p>
        </w:tc>
      </w:tr>
      <w:tr>
        <w:trPr/>
        <w:tc>
          <w:tcPr>
            <w:tcW w:w="11689"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Condensed Consolidated Statements of Changes in Stockholders’ Equity (continued)</w:t>
            </w:r>
          </w:p>
        </w:tc>
      </w:tr>
      <w:tr>
        <w:trPr/>
        <w:tc>
          <w:tcPr>
            <w:tcW w:w="11689" w:type="dxa"/>
            <w:gridSpan w:val="4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Additional </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Total Stockholders’</w:t>
              <w:br/>
              <w:t>Equity</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Amount</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128,198</w:t>
            </w: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502,032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(193,749)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(9,378)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(103,985)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205,580</w:t>
            </w: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1,892 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stock units issued, net of shares withheld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(1,021)</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5,087 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5,087 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as of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128,198</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498,617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(188,662)</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(9,047)</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(99,699)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211,538</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2,459 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stock units issued, net of shares withheld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2,902 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2,902 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128,198</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499,732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(185,760)</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(8,947)</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(98,471)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216,783</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2,253 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stock units issued, net of shares withheld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as of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128,198</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501,918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(184,323)</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(8,943)</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(98,414)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220,463</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84150"/>
                <wp:effectExtent l="0" t="0" r="0" b="0"/>
                <wp:wrapNone/>
                <wp:docPr id="8" name="Frame7"/>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60" w:after="283"/>
        <w:jc w:val="both"/>
        <w:rPr/>
      </w:pPr>
      <w:hyperlink w:anchor="i6a3ffadfac5b43cb82c32b479edcc3e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(Unaudited)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579"/>
        <w:gridCol w:w="2189"/>
        <w:gridCol w:w="2203"/>
        <w:gridCol w:w="250"/>
        <w:gridCol w:w="1015"/>
        <w:gridCol w:w="129"/>
        <w:gridCol w:w="129"/>
        <w:gridCol w:w="129"/>
        <w:gridCol w:w="129"/>
        <w:gridCol w:w="250"/>
        <w:gridCol w:w="1015"/>
        <w:gridCol w:w="188"/>
      </w:tblGrid>
      <w:tr>
        <w:trPr/>
        <w:tc>
          <w:tcPr>
            <w:tcW w:w="2579"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6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 September 30,</w:t>
            </w:r>
          </w:p>
        </w:tc>
      </w:tr>
      <w:tr>
        <w:trPr/>
        <w:tc>
          <w:tcPr>
            <w:tcW w:w="6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(5,918)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9,426 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(loss) to net cash provided by (used in) operating activities:</w:t>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5,626 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6,408 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1,757 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debt issuance costs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Non-cash operating lease cost</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4,499 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Changes in operating assets &amp; liabilities:</w:t>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Contract assets, net</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(12,035)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(10,594)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Excess profit share receipts</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current and non-current assets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(3,137)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3,476 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2,164 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receivable, net</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Third-party claims administration liability</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4,286 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current and non-current liabilities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2,838 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cash provided by (used in) operating activities</w:t>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(8,644)</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20,976</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Purchase of property and equipment</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Capitalized software development costs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(2,577)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cash used in investing activities</w:t>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(911)</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(2,738)</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6971"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Payments on term loans</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(5,625)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(2,813)</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6971"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Shares repurchased</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(3,952)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Shares withheld for taxes related to restricted stock units</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(1,147)</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cash used in financing activities</w:t>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(10,640)</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(3,960)</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change in cash and cash equivalents and restricted cash</w:t>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(20,195)</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14,278 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 and restricted cash at the beginning of the period</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253,924 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246,669 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and cash equivalents and restricted cash at the end of the period</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233,729</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260,947</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Supplemental disclosure of cash flow information:</w:t>
            </w:r>
          </w:p>
        </w:tc>
        <w:tc>
          <w:tcPr>
            <w:tcW w:w="13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paid</w:t>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7,148 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7,981 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paid (refunded), net</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Right-of-use assets obtained in exchange for lease obligations</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1"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6971"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6971"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6971"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6971"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6971"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6971"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84150"/>
                <wp:effectExtent l="0" t="0" r="0" b="0"/>
                <wp:wrapNone/>
                <wp:docPr id="9" name="Frame8"/>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60" w:after="283"/>
        <w:jc w:val="both"/>
        <w:rPr/>
      </w:pPr>
      <w:hyperlink w:anchor="i6a3ffadfac5b43cb82c32b479edcc3ef_7">
        <w:r>
          <w:rPr>
            <w:rStyle w:val="InternetLink"/>
            <w:rFonts w:ascii="Proxima Nova;sans-serif" w:hAnsi="Proxima Nov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Note 1—Description of Business, Background and Nature of Operations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Open Lending Corporation and its subsidiaries (“Company,” “we,” “us” and “our”), headquartered in Austin, Texas, provides loan analytics, risk-based loan pricing, risk modeling and automated decision technology for automotive lenders throughout the United States of America (the “U.S.”), which enables each lending institution to book near-prime and non-prime automotive loans, coupled with real-time underwriting of loan default insurance, out of its existing business flow. We also operate as a third-party administrator that adjudicates insurance claims and premium adjustments on automotive loans.</w:t>
      </w:r>
    </w:p>
    <w:p>
      <w:pPr>
        <w:pStyle w:val="TextBody"/>
        <w:bidi w:val="0"/>
        <w:spacing w:lineRule="auto" w:line="288" w:before="120" w:after="283"/>
        <w:jc w:val="both"/>
        <w:rPr/>
      </w:pPr>
      <w:r>
        <w:rPr>
          <w:rFonts w:ascii="Arial;sans-serif" w:hAnsi="Arial;sans-serif"/>
          <w:b w:val="false"/>
          <w:color w:val="000000"/>
          <w:sz w:val="20"/>
        </w:rPr>
        <w:t>Our flagship product, Lenders Protection</w:t>
      </w:r>
      <w:r>
        <w:rPr>
          <w:rFonts w:ascii="Arial;sans-serif" w:hAnsi="Arial;sans-serif"/>
          <w:b w:val="false"/>
          <w:color w:val="000000"/>
          <w:sz w:val="13"/>
        </w:rPr>
        <w:t>TM</w:t>
      </w:r>
      <w:r>
        <w:rPr>
          <w:color w:val="000000"/>
        </w:rPr>
        <w:t xml:space="preserve"> </w:t>
      </w:r>
      <w:r>
        <w:rPr>
          <w:rFonts w:ascii="Arial;sans-serif" w:hAnsi="Arial;sans-serif"/>
          <w:b w:val="false"/>
          <w:color w:val="000000"/>
          <w:sz w:val="20"/>
        </w:rPr>
        <w:t>platform (“LPP”), is a cloud-based automotive lending enablement platform. LPP supports loans made to near-prime and non-prime borrowers and is designed to underwrite default insurance by linking automotive lenders to our insurance partners. The platform uses risk-based pricing models that enable automotive lenders to assess the credit risk of a potential borrower using data driven analysis. Our proprietary risk models project loan performance, including expected losses and prepayments, in arriving at the optimal contract interest rate. LPP recommends a risk-based, all-inclusive interest rate for a loan that is customized to each automotive lender, reflecting cost of capital, loan servicing and acquisition costs, expected recovery rates and target return on assets.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All of our operations and assets are in the U.S., and all of our revenues are attributable to U.S.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2—Summary of Significant Accounting and Reporting Policies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have been prepared in accordance with U.S. Generally Accepted Accounting Principles (“GAAP”) and include the accounts of Open Lending Corporation and all its subsidiaries. All intercompany transactions and balances have been eliminated upon consolidation.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Certain information and footnote disclosures normally included in annual financial statements prepared in accordance with GAAP have been omitted from these unaudited condensed consolidated financial statements, as permitted by Securities and Exchange Commission (“SEC”) rules and regulations. We believe the disclosures made in these unaudited condensed consolidated financial statements are adequate to make the information herein not misleading. These unaudited interim condensed consolidated financial statements should be read in conjunction with the audited consolidated financial statements and related notes thereto included in our Annual Report on Form 10-K for the year ended December 31, 2024.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interim data includes all normal adjustments that are, in our opinion, necessary for a fair statement of the results for the interim periods presented. The results of operations for the three and nine months ended September 30, 2025 are not necessarily indicative of our operating results for the entire fiscal year ending December 31, 2025.</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Use of Estimates and Judgments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preparation of unaudited condensed consolidated financial statements in conformity with GAAP requires management to make estimates and assumptions that affect the reported amounts in the unaudited condensed consolidated financial statements and accompanying notes. Actual results could differ from those estimates, and those differences may be material. Estimates and underlying assumptions are reviewed on an ongoing basis. Revisions to estimates are recognized prospectively.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most significant items subject to such estimates and assumptions include, but are not limited to, profit share revenue recognition and the corresponding impact on contract assets and the excess profit share receipts liability and assessing the realizability of deferred tax assets. Our estimates are based on historical trends and relevant assumptions that we believe to be reasonable under the circumstances. Accordingly, actual results could be materially different from those estimates.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Profit Share Revenue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Profit share represents our participation in the net underwriting profit of third-party insurance partners who provide automotive lenders with credit default insurance on loans those lenders make using LPP. We receive a percentage of the aggregate net monthly insurance underwriting profit over the term of the underlying insured loan. Monthly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86055"/>
                <wp:effectExtent l="0" t="0" r="0" b="0"/>
                <wp:wrapNone/>
                <wp:docPr id="10" name="Frame9"/>
                <a:graphic xmlns:a="http://schemas.openxmlformats.org/drawingml/2006/main">
                  <a:graphicData uri="http://schemas.microsoft.com/office/word/2010/wordprocessingShape">
                    <wps:wsp>
                      <wps:cNvSpPr txBox="1"/>
                      <wps:spPr>
                        <a:xfrm>
                          <a:off x="0" y="0"/>
                          <a:ext cx="6480175" cy="186055"/>
                        </a:xfrm>
                        <a:prstGeom prst="rect"/>
                        <a:solidFill>
                          <a:srgbClr val="FFFFFF"/>
                        </a:solidFill>
                      </wps:spPr>
                      <wps:txbx>
                        <w:txbxContent>
                          <w:p>
                            <w:pPr>
                              <w:pStyle w:val="TextBody"/>
                              <w:bidi w:val="0"/>
                              <w:spacing w:lineRule="auto" w:line="288" w:before="60" w:after="283"/>
                              <w:jc w:val="center"/>
                              <w:rPr>
                                <w:rFonts w:ascii="Proxima Nova;sans-serif" w:hAnsi="Proxima Nova;sans-serif"/>
                                <w:b w:val="false"/>
                                <w:color w:val="000000"/>
                                <w:sz w:val="20"/>
                              </w:rPr>
                            </w:pPr>
                            <w:r>
                              <w:rPr>
                                <w:rFonts w:ascii="Proxima Nova;sans-serif" w:hAnsi="Proxima Nova;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Proxima Nova;sans-serif" w:hAnsi="Proxima Nova;sans-serif"/>
                          <w:b w:val="false"/>
                          <w:color w:val="000000"/>
                          <w:sz w:val="20"/>
                        </w:rPr>
                      </w:pPr>
                      <w:r>
                        <w:rPr>
                          <w:rFonts w:ascii="Proxima Nova;sans-serif" w:hAnsi="Proxima Nova;sans-serif"/>
                          <w:b w:val="false"/>
                          <w:color w:val="000000"/>
                          <w:sz w:val="20"/>
                        </w:rPr>
                        <w:t>8</w:t>
                      </w:r>
                    </w:p>
                  </w:txbxContent>
                </v:textbox>
                <w10:wrap type="none"/>
              </v:rect>
            </w:pict>
          </mc:Fallback>
        </mc:AlternateContent>
      </w:r>
    </w:p>
    <w:p>
      <w:pPr>
        <w:pStyle w:val="TextBody"/>
        <w:bidi w:val="0"/>
        <w:spacing w:lineRule="auto" w:line="288" w:before="60" w:after="283"/>
        <w:jc w:val="both"/>
        <w:rPr/>
      </w:pPr>
      <w:hyperlink w:anchor="i6a3ffadfac5b43cb82c32b479edcc3ef_7">
        <w:r>
          <w:rPr>
            <w:rStyle w:val="InternetLink"/>
            <w:rFonts w:ascii="Proxima Nova;sans-serif" w:hAnsi="Proxima Nov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insurance underwriting profit is calculated as the monthly earned premium less expenses and losses, including reserves for incurred, but not reported losses. In periods where the expenses and losses on the aggregate loan portfolio exceed the monthly earned premiums, no profit share payments are received and future monthly insurance underwriting profits earned are reduced until the earned premiums for the aggregate loan portfolio exceed the accumulated losses at the insurance partner level.</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fulfill our performance obligation upon placement of the insurance and recognize profit share revenue and the related contract asset based on the amount of cash flows we expect to receive from the insurance company over the term of the underlying insured loan.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use a forecast model to estimate variable consideration based on undiscounted expected future profit share to be received from our insurance partners. The forecast model projects loan-level earned premiums and insurance claim payments driven by projections of prepayment rate, loan default rate and severity of loss on the remaining active loan portfolio as of the reporting date. These assumptions are derived from an analysis of the historical portfolio performance, default and prepayment trends, and macroeconomic projections. Estimates of variable consideration generated by the forecast model are constrained to the extent that it is probable that a significant reversal of revenue will not occur in future periods.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a quarterly basis, we update the assumptions used in the forecast model and recognize a change in estimate adjustment to profit share revenue, contract assets and excess profit share receipts liability in the period. To the extent a negative change in estimate exceeds the associated contract asset balance at a loan level, or if cash consideration received is in excess of the expected profit share consideration, the amount is recorded as an excess profit share receipt liability and will be impacted by future changes in estimate related to the profit share revenue forecast.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assess the default and prepayment assumptions of the forecast model against reported performance and lender delinquency data. The forecast is updated to consider the actual prepayment rate, default, and severity of results and macroeconomic conditions.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following table shows the profit share revenue from new certified loan originations and the change in estimates of variable consideration related to performance obligations satisfied in previous periods, primarily as a result of actual portfolio performance and forecast assumption changes due to changes in anticipated loan default rates, severity of losses and prepayment rates.</w:t>
      </w:r>
    </w:p>
    <w:tbl>
      <w:tblPr>
        <w:tblW w:w="10205" w:type="dxa"/>
        <w:jc w:val="left"/>
        <w:tblInd w:w="0" w:type="dxa"/>
        <w:tblLayout w:type="fixed"/>
        <w:tblCellMar>
          <w:top w:w="28" w:type="dxa"/>
          <w:left w:w="28" w:type="dxa"/>
          <w:bottom w:w="28" w:type="dxa"/>
          <w:right w:w="28" w:type="dxa"/>
        </w:tblCellMar>
      </w:tblPr>
      <w:tblGrid>
        <w:gridCol w:w="994"/>
        <w:gridCol w:w="877"/>
        <w:gridCol w:w="882"/>
        <w:gridCol w:w="311"/>
        <w:gridCol w:w="954"/>
        <w:gridCol w:w="160"/>
        <w:gridCol w:w="160"/>
        <w:gridCol w:w="160"/>
        <w:gridCol w:w="160"/>
        <w:gridCol w:w="311"/>
        <w:gridCol w:w="1109"/>
        <w:gridCol w:w="160"/>
        <w:gridCol w:w="109"/>
        <w:gridCol w:w="109"/>
        <w:gridCol w:w="109"/>
        <w:gridCol w:w="379"/>
        <w:gridCol w:w="1352"/>
        <w:gridCol w:w="195"/>
        <w:gridCol w:w="195"/>
        <w:gridCol w:w="195"/>
        <w:gridCol w:w="195"/>
        <w:gridCol w:w="379"/>
        <w:gridCol w:w="305"/>
        <w:gridCol w:w="445"/>
      </w:tblGrid>
      <w:tr>
        <w:trPr/>
        <w:tc>
          <w:tcPr>
            <w:tcW w:w="99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 September 30,</w:t>
            </w:r>
          </w:p>
        </w:tc>
      </w:tr>
      <w:tr>
        <w:trPr/>
        <w:tc>
          <w:tcPr>
            <w:tcW w:w="2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2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2" w:type="dxa"/>
            <w:gridSpan w:val="21"/>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2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Profit share</w:t>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New certified loan originations</w:t>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7,407 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13,782 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22,754 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44,801</w:t>
            </w:r>
          </w:p>
        </w:tc>
      </w:tr>
      <w:tr>
        <w:trPr/>
        <w:tc>
          <w:tcPr>
            <w:tcW w:w="2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estimated revenues</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(6,960)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(14,764)</w:t>
            </w:r>
          </w:p>
        </w:tc>
      </w:tr>
      <w:tr>
        <w:trPr/>
        <w:tc>
          <w:tcPr>
            <w:tcW w:w="27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Total profit share revenue</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8,470</w:t>
            </w: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6,822</w:t>
            </w: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23,169</w:t>
            </w:r>
            <w:r>
              <w:rPr>
                <w:color w:val="000000"/>
              </w:rPr>
              <w:t>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30,037</w:t>
            </w:r>
          </w:p>
        </w:tc>
      </w:tr>
    </w:tbl>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Share Repurchase Program</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On May 1, 2025, the Board of Directors authorized share repurchases under a share repurchase program (the “Share Repurchase Program”) allowing the Company to repurchase up to $25.0 million of the Company’s outstanding common stock until May 1, 2026. Repurchases may be made at management’s discretion from time to time on the open market. The Share Repurchase Program may be suspended, amended, or discontinued at any time.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Pursuant to the Share Repurchase Program, during the nine months ended September 30, 2025, we repurchased 1,971,369 shares at an average price of $2.00 per share for a total of $4.0 million, excluding excise tax. These shares were recorded to Treasury stock, at cost in the unaudited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84150"/>
                <wp:effectExtent l="0" t="0" r="0" b="0"/>
                <wp:wrapNone/>
                <wp:docPr id="11" name="Frame10"/>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60" w:after="283"/>
        <w:jc w:val="both"/>
        <w:rPr/>
      </w:pPr>
      <w:hyperlink w:anchor="i6a3ffadfac5b43cb82c32b479edcc3ef_7">
        <w:r>
          <w:rPr>
            <w:rStyle w:val="InternetLink"/>
            <w:rFonts w:ascii="Proxima Nova;sans-serif" w:hAnsi="Proxima Nov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Fair Value Measurements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Fair value is the exchange price that would be received for an asset or paid to transfer a liability in an orderly transaction between market participants. In arriving at a fair value measurement, we use a fair value hierarchy based on three levels of inputs, of which the first two are considered observable and the last unobservable. The three levels of inputs used to establish fair value are the following:</w:t>
      </w:r>
    </w:p>
    <w:p>
      <w:pPr>
        <w:pStyle w:val="TextBody"/>
        <w:bidi w:val="0"/>
        <w:spacing w:lineRule="auto" w:line="288" w:before="120" w:after="283"/>
        <w:ind w:left="0" w:right="0" w:hanging="450"/>
        <w:jc w:val="both"/>
        <w:rPr/>
      </w:pPr>
      <w:r>
        <w:rPr>
          <w:color w:val="000000"/>
        </w:rPr>
        <w:t>•</w:t>
      </w:r>
      <w:r>
        <w:rPr>
          <w:rFonts w:ascii="Arial;sans-serif" w:hAnsi="Arial;sans-serif"/>
          <w:b w:val="false"/>
          <w:color w:val="000000"/>
          <w:sz w:val="20"/>
        </w:rPr>
        <w:t>Level 1 — Quoted prices in active markets for identical assets or liabilities;</w:t>
      </w:r>
    </w:p>
    <w:p>
      <w:pPr>
        <w:pStyle w:val="TextBody"/>
        <w:bidi w:val="0"/>
        <w:spacing w:lineRule="auto" w:line="288" w:before="120" w:after="283"/>
        <w:ind w:left="0" w:right="0" w:hanging="450"/>
        <w:jc w:val="both"/>
        <w:rPr/>
      </w:pPr>
      <w:r>
        <w:rPr>
          <w:color w:val="000000"/>
        </w:rPr>
        <w:t>•</w:t>
      </w:r>
      <w:r>
        <w:rPr>
          <w:rFonts w:ascii="Arial;sans-serif" w:hAnsi="Arial;sans-serif"/>
          <w:b w:val="false"/>
          <w:color w:val="000000"/>
          <w:sz w:val="20"/>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pStyle w:val="TextBody"/>
        <w:bidi w:val="0"/>
        <w:spacing w:lineRule="auto" w:line="288" w:before="120" w:after="283"/>
        <w:ind w:left="0" w:right="0" w:hanging="450"/>
        <w:jc w:val="both"/>
        <w:rPr/>
      </w:pPr>
      <w:r>
        <w:rPr>
          <w:color w:val="000000"/>
        </w:rPr>
        <w:t>•</w:t>
      </w:r>
      <w:r>
        <w:rPr>
          <w:rFonts w:ascii="Arial;sans-serif" w:hAnsi="Arial;sans-serif"/>
          <w:b w:val="false"/>
          <w:color w:val="000000"/>
          <w:sz w:val="20"/>
        </w:rPr>
        <w:t>Level 3 — Unobservable inputs that are supported by little or no market activity and that are significant to the fair value of the assets or liabilities.</w:t>
      </w:r>
    </w:p>
    <w:p>
      <w:pPr>
        <w:pStyle w:val="TextBody"/>
        <w:bidi w:val="0"/>
        <w:spacing w:lineRule="auto" w:line="288" w:before="120" w:after="283"/>
        <w:jc w:val="both"/>
        <w:rPr/>
      </w:pPr>
      <w:r>
        <w:rPr>
          <w:rFonts w:ascii="Arial;sans-serif" w:hAnsi="Arial;sans-serif"/>
          <w:b w:val="false"/>
          <w:color w:val="000000"/>
          <w:sz w:val="20"/>
        </w:rPr>
        <w:t>In situations where there is little, if any, market activity for the asset or liability at the measurement date, the fair value measurement reflects our judgments about the assumptions that market participants would use in pricing the asset or liability. Those judgments are developed based on the best information available in the circumstances, including expected cash flows and appropriately risk-adjusted discount rates, available observable and unobservable inputs. Refer to Note 7—</w:t>
      </w:r>
      <w:r>
        <w:rPr>
          <w:rFonts w:ascii="Arial;sans-serif" w:hAnsi="Arial;sans-serif"/>
          <w:b w:val="false"/>
          <w:i/>
          <w:color w:val="000000"/>
          <w:sz w:val="20"/>
        </w:rPr>
        <w:t>Fair Value of Financial Instruments</w:t>
      </w:r>
      <w:r>
        <w:rPr>
          <w:color w:val="000000"/>
        </w:rPr>
        <w:t xml:space="preserve"> </w:t>
      </w:r>
      <w:r>
        <w:rPr>
          <w:rFonts w:ascii="Arial;sans-serif" w:hAnsi="Arial;sans-serif"/>
          <w:b w:val="false"/>
          <w:color w:val="000000"/>
          <w:sz w:val="20"/>
        </w:rPr>
        <w:t>for a summary of our financial instruments measured at fair value on a recurring basis.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Recently Issued Accounting Pronouncements Not Yet Adopted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December 2023, the FASB issued ASU No. 2023-09, Income Taxes (Topic 740): Improvements to Income Tax Disclosures, which enhances the transparency and decision usefulness of income tax disclosures. The ASU requires additional disclosure related to rate reconciliation, income taxes paid, and other disclosures to improve the effectiveness of income tax disclosures. The ASU is effective for annual periods beginning after December 15, 2024, and applied on a prospective basis. Early adoption and retrospective application is permitted. We believe this ASU will have no impact on our consolidated financial statements but may result in additional disclosures.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November 2024, the FASB issued ASU No. 2024-03, Income Statement — Reporting Comprehensive Income — Expense Disaggregation Disclosures (Subtopic 220-40): Disaggregation of Income Statement Expenses”, which requires new disclosures, in a separate note to financial statements, of specified information about certain costs and expenses. The ASU is effective for annual reporting periods beginning after December 15, 2026, and interim reporting periods beginning after December 15, 2027. Early adoption is permitted. We believe this ASU will have no impact on our consolidated financial statements but will result in additional disclosures.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September 2025, the FASB issued ASU No. 2025-06, Intangibles — Goodwill and Other — Internal-Use Software (Subtopic 350-40): Targeted Improvements to the Accounting for Internal-Use Software”, which updates the accounting for the internal-use software costs. The update removes all references to software development project stages and requires the capitalization of internal-use software costs when management has authorized and committed to funding the software project and it is probable that the project will be completed and function as intended. The ASU is effective for annual reporting periods beginning after December 15, 2027, and interim reporting periods within those annual periods and permits prospective, modified prospective, or retrospective adoption. Early adoption is permitted. We are currently evaluating the impact of adopting this ASU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3—Contract Assets and Excess Profit Share Receipts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Contract Assets</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 xml:space="preserve">We recognize contract assets when we transfer services to a customer, recognize revenue for amounts not yet billed, and the right to consideration is conditional on something other than the passage of time. Accounts receivable are recorded when the customer has been billed or the right to consideration is unconditional. Changes in our contract assets primarily result from the timing difference between the satisfaction of our performance obligation and receipt of the customer’s payment.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84150"/>
                <wp:effectExtent l="0" t="0" r="0" b="0"/>
                <wp:wrapNone/>
                <wp:docPr id="12" name="Frame11"/>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60" w:after="283"/>
        <w:jc w:val="both"/>
        <w:rPr/>
      </w:pPr>
      <w:hyperlink w:anchor="i6a3ffadfac5b43cb82c32b479edcc3ef_7">
        <w:r>
          <w:rPr>
            <w:rStyle w:val="InternetLink"/>
            <w:rFonts w:ascii="Proxima Nova;sans-serif" w:hAnsi="Proxima Nov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For performance obligations related to profit share revenue that were satisfied in previous periods, we evaluate and update our profit share revenue forecast on a quarterly basis and adjust the contract assets accordingly. An increase in the profit share revenue forecast associated with performance obligations satisfied in previous periods, or historic vintages, is reported as a positive change in estimate and generates an increase in our contract asset, additional revenues and future expected cash flows. A decrease in the profit share revenue forecast associated with historic vintages is reported as a negative change in estimate and generates a decrease in our contract asset, and a reduction in revenues and future expected cash flows. To the extent a negative change in estimate exceeds the associated contract asset balance at a loan level, or if cash consideration received is in excess of the expected profit share consideration, the amount is recorded as an excess profit share receipt liability.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the expected profit share variable consideration and related contract assets are recorded and updated on a quarterly basis, the amounts disclosed as “Changes in estimates of revenue from performance obligations satisfied in previous periods” in the table below includes adjustments to revenue recorded in the previous quarters of the same fiscal year reported.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 xml:space="preserve">Contract assets balances for the periods indicated below were as follows: </w:t>
      </w:r>
    </w:p>
    <w:tbl>
      <w:tblPr>
        <w:tblW w:w="10205" w:type="dxa"/>
        <w:jc w:val="left"/>
        <w:tblInd w:w="0" w:type="dxa"/>
        <w:tblLayout w:type="fixed"/>
        <w:tblCellMar>
          <w:top w:w="28" w:type="dxa"/>
          <w:left w:w="28" w:type="dxa"/>
          <w:bottom w:w="28" w:type="dxa"/>
          <w:right w:w="28" w:type="dxa"/>
        </w:tblCellMar>
      </w:tblPr>
      <w:tblGrid>
        <w:gridCol w:w="1368"/>
        <w:gridCol w:w="1096"/>
        <w:gridCol w:w="1103"/>
        <w:gridCol w:w="211"/>
        <w:gridCol w:w="751"/>
        <w:gridCol w:w="109"/>
        <w:gridCol w:w="109"/>
        <w:gridCol w:w="109"/>
        <w:gridCol w:w="109"/>
        <w:gridCol w:w="211"/>
        <w:gridCol w:w="646"/>
        <w:gridCol w:w="109"/>
        <w:gridCol w:w="109"/>
        <w:gridCol w:w="109"/>
        <w:gridCol w:w="109"/>
        <w:gridCol w:w="545"/>
        <w:gridCol w:w="1672"/>
        <w:gridCol w:w="284"/>
        <w:gridCol w:w="109"/>
        <w:gridCol w:w="109"/>
        <w:gridCol w:w="109"/>
        <w:gridCol w:w="211"/>
        <w:gridCol w:w="751"/>
        <w:gridCol w:w="157"/>
      </w:tblGrid>
      <w:tr>
        <w:trPr/>
        <w:tc>
          <w:tcPr>
            <w:tcW w:w="1368"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6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63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Contract Assets</w:t>
            </w:r>
          </w:p>
        </w:tc>
      </w:tr>
      <w:tr>
        <w:trPr/>
        <w:tc>
          <w:tcPr>
            <w:tcW w:w="3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Profit</w:t>
              <w:br/>
              <w:t>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Program</w:t>
              <w:br/>
              <w:t>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Claims Administration and Other Service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Total</w:t>
            </w:r>
          </w:p>
        </w:tc>
      </w:tr>
      <w:tr>
        <w:trPr/>
        <w:tc>
          <w:tcPr>
            <w:tcW w:w="3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18"/>
              </w:rPr>
            </w:pPr>
            <w:r>
              <w:rPr>
                <w:rFonts w:ascii="Arial;sans-serif" w:hAnsi="Arial;sans-serif"/>
                <w:b w:val="false"/>
                <w:i/>
                <w:color w:val="000000"/>
                <w:sz w:val="18"/>
              </w:rPr>
              <w:t>(in thousands)</w:t>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Ending balance as of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9,633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3,229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6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2,205</w:t>
            </w: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15,067</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Increase of contract assets due to new business generation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7,228 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73,463 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Change in estimates of revenue from performance obligations satisfied in previous periods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Payables (receivables) transferred from contract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(43,829)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Payments received from insurance carriers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(7,297)</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(17,664)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Profit share realization of losses reducing payments received </w:t>
            </w:r>
            <w:r>
              <w:rPr>
                <w:rFonts w:ascii="Arial;sans-serif" w:hAnsi="Arial;sans-serif"/>
                <w:b w:val="false"/>
                <w:color w:val="000000"/>
                <w:sz w:val="13"/>
              </w:rPr>
              <w:t>(1)</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(12,310)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Transfer from excess profit share receipts liability</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Provision for expected credit losses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Ending balance as of September 30,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22,110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2,856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2,136</w:t>
            </w:r>
            <w:r>
              <w:rPr>
                <w:color w:val="000000"/>
              </w:rPr>
              <w:t> </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27,102</w:t>
            </w: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(1) Represents the deemed gross payment that would have been received for historic vintages in a contract asset position if not reduced by the realization of accrued losses on historic vintages in an excess profit share receipts liability position. The $12.3 million of realization of losses reduced the contract assets as payment will not be received and reduced the excess profit share receipts liability as discussed below.</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Excess Profit Share Receipts Liability</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When profit share cash consideration received is in excess of the expected profit share consideration at the loan level, the amount of excess funds and the forecasted losses are recorded as an excess profit share receipts liability. The excess profit share receipts liability is based on the current forecast of future losses of the active loan portfolio and will be impacted by future changes in estimate related to profit share revenue. There is generally no contractual obligation to return the excess funds while an insurance partner is actively participating in our profit share program; however, future expected profit share cash flows may be reduced. When cash payments received from our insurance partners related to our profit share contract assets are reduced due to the realization of accrued losses, the excess profit share receipts liability and contract asset are both reduced.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84150"/>
                <wp:effectExtent l="0" t="0" r="0" b="0"/>
                <wp:wrapNone/>
                <wp:docPr id="13" name="Frame12"/>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60" w:after="283"/>
        <w:jc w:val="both"/>
        <w:rPr/>
      </w:pPr>
      <w:hyperlink w:anchor="i6a3ffadfac5b43cb82c32b479edcc3ef_7">
        <w:r>
          <w:rPr>
            <w:rStyle w:val="InternetLink"/>
            <w:rFonts w:ascii="Proxima Nova;sans-serif" w:hAnsi="Proxima Nov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60" w:after="120"/>
        <w:jc w:val="both"/>
        <w:rPr>
          <w:rFonts w:ascii="Arial;sans-serif" w:hAnsi="Arial;sans-serif"/>
          <w:b w:val="false"/>
          <w:color w:val="000000"/>
          <w:sz w:val="20"/>
        </w:rPr>
      </w:pPr>
      <w:r>
        <w:rPr>
          <w:rFonts w:ascii="Arial;sans-serif" w:hAnsi="Arial;sans-serif"/>
          <w:b w:val="false"/>
          <w:color w:val="000000"/>
          <w:sz w:val="20"/>
        </w:rPr>
        <w:t>The excess profit share receipts liability balance for the periods indicated below were as follows:</w:t>
      </w:r>
    </w:p>
    <w:tbl>
      <w:tblPr>
        <w:tblW w:w="10205" w:type="dxa"/>
        <w:jc w:val="left"/>
        <w:tblInd w:w="0" w:type="dxa"/>
        <w:tblLayout w:type="fixed"/>
        <w:tblCellMar>
          <w:top w:w="28" w:type="dxa"/>
          <w:left w:w="28" w:type="dxa"/>
          <w:bottom w:w="28" w:type="dxa"/>
          <w:right w:w="28" w:type="dxa"/>
        </w:tblCellMar>
      </w:tblPr>
      <w:tblGrid>
        <w:gridCol w:w="3093"/>
        <w:gridCol w:w="2702"/>
        <w:gridCol w:w="2719"/>
        <w:gridCol w:w="109"/>
        <w:gridCol w:w="109"/>
        <w:gridCol w:w="109"/>
        <w:gridCol w:w="257"/>
        <w:gridCol w:w="916"/>
        <w:gridCol w:w="191"/>
      </w:tblGrid>
      <w:tr>
        <w:trPr/>
        <w:tc>
          <w:tcPr>
            <w:tcW w:w="3093"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Profit</w:t>
              <w:br/>
              <w:t>Share</w:t>
            </w:r>
          </w:p>
        </w:tc>
      </w:tr>
      <w:tr>
        <w:trPr/>
        <w:tc>
          <w:tcPr>
            <w:tcW w:w="8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8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Ending 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47,556</w:t>
            </w: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estimates of revenue from performance obligations satisfied in previous periods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Realization of losses reducing payments received, net of payments received from insurance carriers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(12,310)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Transfer from contract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11,371 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Ending balance as of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47,232</w:t>
            </w:r>
            <w:r>
              <w:rPr>
                <w:color w:val="000000"/>
              </w:rPr>
              <w:t>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(1) Represents the realization of losses on historic vintages which reduced the profit share payment received from insurance carriers. Amount is shown net of any payments received from insurance carriers related to historic vintages in an excess profit share liability position.</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Contract Costs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fulfillment costs associated with the Company’s contracts with customers do not meet the criteria for capitalization and therefore are expensed as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4—Long-term Debt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The following table provides a summary of our debt as of the periods indicated:</w:t>
      </w:r>
    </w:p>
    <w:tbl>
      <w:tblPr>
        <w:tblW w:w="8139" w:type="dxa"/>
        <w:jc w:val="left"/>
        <w:tblInd w:w="0" w:type="dxa"/>
        <w:tblLayout w:type="fixed"/>
        <w:tblCellMar>
          <w:top w:w="28" w:type="dxa"/>
          <w:left w:w="28" w:type="dxa"/>
          <w:bottom w:w="28" w:type="dxa"/>
          <w:right w:w="28" w:type="dxa"/>
        </w:tblCellMar>
      </w:tblPr>
      <w:tblGrid>
        <w:gridCol w:w="1801"/>
        <w:gridCol w:w="1574"/>
        <w:gridCol w:w="1589"/>
        <w:gridCol w:w="258"/>
        <w:gridCol w:w="1048"/>
        <w:gridCol w:w="133"/>
        <w:gridCol w:w="109"/>
        <w:gridCol w:w="109"/>
        <w:gridCol w:w="109"/>
        <w:gridCol w:w="243"/>
        <w:gridCol w:w="989"/>
        <w:gridCol w:w="177"/>
      </w:tblGrid>
      <w:tr>
        <w:trPr/>
        <w:tc>
          <w:tcPr>
            <w:tcW w:w="1801"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br/>
              <w:t>2024</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18"/>
              </w:rPr>
            </w:pPr>
            <w:r>
              <w:rPr>
                <w:rFonts w:ascii="Arial;sans-serif" w:hAnsi="Arial;sans-serif"/>
                <w:b w:val="false"/>
                <w:i/>
                <w:color w:val="000000"/>
                <w:sz w:val="18"/>
              </w:rPr>
              <w:t>(in thousands)</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Term loan due 2027</w:t>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135,000 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140,625 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Revolving credit facility</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unamortized deferred financing costs</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debt</w:t>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134,352 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139,717 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current portion of debt</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(7,500)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(7,500)</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long-term debt, net of deferred financing costs</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126,852</w:t>
            </w:r>
            <w:r>
              <w:rPr>
                <w:color w:val="000000"/>
              </w:rPr>
              <w:t>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132,217</w:t>
            </w:r>
            <w:r>
              <w:rPr>
                <w:color w:val="000000"/>
              </w:rPr>
              <w:t>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Credit Agreement—Term Loan due 2027 and Revolving Credit Facility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September 9, 2022, we entered into a First Amendment to our existing Credit Agreement (the “First Amendment”) with Wells Fargo Bank, N.A., as the administrative agent, and the financial institutions party thereto, as the lenders. The First Amendment provided senior secured credit facilities in an aggregate principal amount of $300 million, which (i) established a term loan due 2027 with a principal amount of $150 million (the “Term Loan due 2027”), and (ii) increased the borrowing capacity on the existing revolving credit facility to $150 million (the “Revolving Credit Facility”), both scheduled to mature on September 9, 2027 (collectively, the “Credit Agreement”).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Borrowings under the Credit Agreement bear interest at a rate equal to either (i) an Alternate Base rate (“ABR”) or (ii) the term Secured Overnight Financing Rate (“SOFR”) plus 0.10% (“Adjusted SOFR”) plus a spread that is based upon our total net leverage ratio. The spread ranges from 0.625% to 1.375% per annum for ABR loans and 1.625% to 2.375% per annum for Adjusted SOFR loans. With respect to the ABR loans, interest is payable at the end of each calendar quarter. With respect to the Adjusted SOFR loans, interest is payable at the end of the selected interest period (at least quarterly). Additionally, there is an unused commitment fee payable at the end of each quarter at a rate per annum ranging from 0.15% to 0.225% based on the average daily unused portion of the Revolving Credit Facility and other customary letter of credit fees. Pursuant to the Credit Agreement, the interest rate spread and commitment fees increase or decrease in increments as the Funded Secured Debt/EBITDA ratio increases or decreases.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84150"/>
                <wp:effectExtent l="0" t="0" r="0" b="0"/>
                <wp:wrapNone/>
                <wp:docPr id="14" name="Frame13"/>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60" w:after="283"/>
        <w:jc w:val="both"/>
        <w:rPr/>
      </w:pPr>
      <w:hyperlink w:anchor="i6a3ffadfac5b43cb82c32b479edcc3ef_7">
        <w:r>
          <w:rPr>
            <w:rStyle w:val="InternetLink"/>
            <w:rFonts w:ascii="Proxima Nova;sans-serif" w:hAnsi="Proxima Nov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September 30, 2025, the Term Loan due 2027 and the Revolving Credit Facility were both subject to an Adjusted SOFR rate of 4.102% plus a spread of 1.875% per annum. Commitment fees were accrued at 0.175% under the Revolving Credit Facility’s unused commitment balance of $150 million as of September 30, 2025. As of September 30, 2025 and December 31, 2024, the effective interest rate on the outstanding borrowings was 6.224% and 7.050%, respectively.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Unamortized deferred financing costs related to the Term Loan due 2027 and the Revolving Credit Facility were $0.6 million and $0.1 million, respectively, as of September 30, 2025.</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obligations under the Credit Agreement are guaranteed by our U.S. subsidiaries and are secured by substantially all of our assets and our U.S. subsidiaries, subject to customary exceptions. The Credit Agreement contains a maximum total net leverage ratio financial covenant and a minimum fixed charge coverage ratio financial covenant, which are tested quarterly. The maximum total net leverage ratio is 3.0:1 and the minimum fixed charge coverage ratio is 1.25:1. As of September 30, 2025, we were in compliance with all required covenants under the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5—Income Taxes</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We have historically computed our interim provision for income taxes by applying the estimated annual effective tax rate to year-to-date income before income tax and adjusted the provision for discrete tax items recorded in the period (“annual effective tax rate method”). The interim provision for income taxes and estimated annual effective tax rate are subject to volatility due to several factors, including changes in our earnings, changes to our valuation allowance, material discrete tax items and the effects of tax law changes. For the three and nine months ended September 30, 2025, we determined the best estimate of the annual effective tax rate was the year-to-date effective tax rate which was applied to year-to-date income to estimate the interim provision for income taxes.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For the three months ended September 30, 2025, we recognized an insignificant income tax benefit, resulting in an effective tax rate of 0.2%, as compared to income tax expense of $0.7 million and an effective tax rate of 32.4%, for the three months ended September 30, 2024.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For the nine months ended September 30, 2025, we recognized tax expense $0.1 million, resulting in an effective tax rate of (2.1)%, as compared to income tax expense of $4.6 million and an effective tax rate of 32.6% for the nine months ended September 30, 2024.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decrease in the effective tax rate for both the three and nine months ended September 30, 2025 compared to the same periods in 2024 was primarily due to the impact of changes in our valuation allowance and lower income before income taxes.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July 4, 2025, the U.S. tax legislation known as the One Big Beautiful Bill Act (“OBBBA”) was enacted. The OBBBA includes tax reform provisions that amend, eliminate and extend many of the tax rules under the 2017 Tax Cuts and Jobs Act. While the OBBBA has not had a material impact on our results of operations, we will monitor developments and evaluate any potential future impacts.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84150"/>
                <wp:effectExtent l="0" t="0" r="0" b="0"/>
                <wp:wrapNone/>
                <wp:docPr id="15" name="Frame14"/>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60" w:after="283"/>
        <w:jc w:val="both"/>
        <w:rPr/>
      </w:pPr>
      <w:hyperlink w:anchor="i6a3ffadfac5b43cb82c32b479edcc3ef_7">
        <w:r>
          <w:rPr>
            <w:rStyle w:val="InternetLink"/>
            <w:rFonts w:ascii="Proxima Nova;sans-serif" w:hAnsi="Proxima Nov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6—Net Income (Loss)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sets forth the computation of basic and diluted net income (loss) per share attributable to common stockholders for the three and nine months ended September 30, 2025 and 2024:</w:t>
      </w:r>
    </w:p>
    <w:tbl>
      <w:tblPr>
        <w:tblW w:w="10205" w:type="dxa"/>
        <w:jc w:val="center"/>
        <w:tblInd w:w="0" w:type="dxa"/>
        <w:tblLayout w:type="fixed"/>
        <w:tblCellMar>
          <w:top w:w="28" w:type="dxa"/>
          <w:left w:w="28" w:type="dxa"/>
          <w:bottom w:w="28" w:type="dxa"/>
          <w:right w:w="28" w:type="dxa"/>
        </w:tblCellMar>
      </w:tblPr>
      <w:tblGrid>
        <w:gridCol w:w="1400"/>
        <w:gridCol w:w="1186"/>
        <w:gridCol w:w="1198"/>
        <w:gridCol w:w="362"/>
        <w:gridCol w:w="1181"/>
        <w:gridCol w:w="187"/>
        <w:gridCol w:w="133"/>
        <w:gridCol w:w="133"/>
        <w:gridCol w:w="133"/>
        <w:gridCol w:w="258"/>
        <w:gridCol w:w="791"/>
        <w:gridCol w:w="133"/>
        <w:gridCol w:w="109"/>
        <w:gridCol w:w="109"/>
        <w:gridCol w:w="109"/>
        <w:gridCol w:w="250"/>
        <w:gridCol w:w="806"/>
        <w:gridCol w:w="129"/>
        <w:gridCol w:w="129"/>
        <w:gridCol w:w="129"/>
        <w:gridCol w:w="129"/>
        <w:gridCol w:w="250"/>
        <w:gridCol w:w="768"/>
        <w:gridCol w:w="193"/>
      </w:tblGrid>
      <w:tr>
        <w:trPr/>
        <w:tc>
          <w:tcPr>
            <w:tcW w:w="1400"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 September 30,</w:t>
            </w:r>
          </w:p>
        </w:tc>
      </w:tr>
      <w:tr>
        <w:trPr/>
        <w:tc>
          <w:tcPr>
            <w:tcW w:w="3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3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1" w:type="dxa"/>
            <w:gridSpan w:val="21"/>
            <w:tcBorders/>
            <w:tcMar>
              <w:top w:w="0" w:type="dxa"/>
              <w:left w:w="0" w:type="dxa"/>
              <w:bottom w:w="0" w:type="dxa"/>
              <w:right w:w="0" w:type="dxa"/>
            </w:tcMar>
            <w:vAlign w:val="center"/>
          </w:tcPr>
          <w:p>
            <w:pPr>
              <w:pStyle w:val="TableContents"/>
              <w:bidi w:val="0"/>
              <w:spacing w:lineRule="auto" w:line="288" w:before="0" w:after="0"/>
              <w:ind w:left="0" w:right="0" w:hanging="180"/>
              <w:jc w:val="center"/>
              <w:rPr>
                <w:rFonts w:ascii="Arial;sans-serif" w:hAnsi="Arial;sans-serif"/>
                <w:b w:val="false"/>
                <w:i/>
                <w:color w:val="000000"/>
                <w:sz w:val="18"/>
              </w:rPr>
            </w:pPr>
            <w:r>
              <w:rPr>
                <w:rFonts w:ascii="Arial;sans-serif" w:hAnsi="Arial;sans-serif"/>
                <w:b w:val="false"/>
                <w:i/>
                <w:color w:val="000000"/>
                <w:sz w:val="18"/>
              </w:rPr>
              <w:t>(in thousands, except per share data)</w:t>
            </w:r>
          </w:p>
        </w:tc>
      </w:tr>
      <w:tr>
        <w:trPr/>
        <w:tc>
          <w:tcPr>
            <w:tcW w:w="5514"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Basic net income (loss) per share:</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Numerator</w:t>
            </w:r>
          </w:p>
        </w:tc>
        <w:tc>
          <w:tcPr>
            <w:tcW w:w="1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 attributable to common stockholders</w:t>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(7,569)</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(5,918)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9,426 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Denominator</w:t>
            </w:r>
          </w:p>
        </w:tc>
        <w:tc>
          <w:tcPr>
            <w:tcW w:w="1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w:t>
            </w:r>
          </w:p>
        </w:tc>
        <w:tc>
          <w:tcPr>
            <w:tcW w:w="15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118,173 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119,253 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118,825 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119,129 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Basic net income (loss) per share attributable to common stockholders</w:t>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(0.06)</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0.01</w:t>
            </w: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(0.05)</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0.08</w:t>
            </w:r>
            <w:r>
              <w:rPr>
                <w:color w:val="000000"/>
              </w:rPr>
              <w:t>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14"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Diluted net income (loss) per share:</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Numerator</w:t>
            </w:r>
          </w:p>
        </w:tc>
        <w:tc>
          <w:tcPr>
            <w:tcW w:w="1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 attributable to common stockholders</w:t>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(7,569)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(5,918)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9,426 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Denominator</w:t>
            </w:r>
          </w:p>
        </w:tc>
        <w:tc>
          <w:tcPr>
            <w:tcW w:w="1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 weighted average common shares outstanding</w:t>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118,173 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119,253 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118,825 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119,129 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Dilutive effect of employee share awards outstanding</w:t>
            </w:r>
          </w:p>
        </w:tc>
        <w:tc>
          <w:tcPr>
            <w:tcW w:w="15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 weighted average common shares outstanding</w:t>
            </w:r>
          </w:p>
        </w:tc>
        <w:tc>
          <w:tcPr>
            <w:tcW w:w="15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118,173 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119,481 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118,825 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119,428 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Diluted net income (loss) per share attributable to common stockholders</w:t>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(0.06)</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0.01</w:t>
            </w:r>
            <w:r>
              <w:rPr>
                <w:color w:val="000000"/>
              </w:rPr>
              <w:t>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(0.05)</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0.08</w:t>
            </w:r>
            <w:r>
              <w:rPr>
                <w:color w:val="000000"/>
              </w:rPr>
              <w:t>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potentially dilutive outstanding securities were excluded from the computation of diluted net income (loss) per share because their effect would have been anti-dilutive for the periods presented, or the issuance of such shares is contingent upon the satisfaction of certain conditions that were not satisfied by the end of the periods:</w:t>
      </w:r>
    </w:p>
    <w:tbl>
      <w:tblPr>
        <w:tblW w:w="10205" w:type="dxa"/>
        <w:jc w:val="left"/>
        <w:tblInd w:w="0" w:type="dxa"/>
        <w:tblLayout w:type="fixed"/>
        <w:tblCellMar>
          <w:top w:w="28" w:type="dxa"/>
          <w:left w:w="28" w:type="dxa"/>
          <w:bottom w:w="28" w:type="dxa"/>
          <w:right w:w="28" w:type="dxa"/>
        </w:tblCellMar>
      </w:tblPr>
      <w:tblGrid>
        <w:gridCol w:w="1306"/>
        <w:gridCol w:w="1079"/>
        <w:gridCol w:w="1051"/>
        <w:gridCol w:w="387"/>
        <w:gridCol w:w="368"/>
        <w:gridCol w:w="349"/>
        <w:gridCol w:w="349"/>
        <w:gridCol w:w="349"/>
        <w:gridCol w:w="349"/>
        <w:gridCol w:w="387"/>
        <w:gridCol w:w="368"/>
        <w:gridCol w:w="360"/>
        <w:gridCol w:w="109"/>
        <w:gridCol w:w="109"/>
        <w:gridCol w:w="109"/>
        <w:gridCol w:w="356"/>
        <w:gridCol w:w="346"/>
        <w:gridCol w:w="322"/>
        <w:gridCol w:w="322"/>
        <w:gridCol w:w="322"/>
        <w:gridCol w:w="322"/>
        <w:gridCol w:w="356"/>
        <w:gridCol w:w="346"/>
        <w:gridCol w:w="484"/>
      </w:tblGrid>
      <w:tr>
        <w:trPr/>
        <w:tc>
          <w:tcPr>
            <w:tcW w:w="130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3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 September 30,</w:t>
            </w:r>
          </w:p>
        </w:tc>
      </w:tr>
      <w:tr>
        <w:trPr/>
        <w:tc>
          <w:tcPr>
            <w:tcW w:w="3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10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3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9"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(in thousands)</w:t>
            </w:r>
          </w:p>
        </w:tc>
      </w:tr>
      <w:tr>
        <w:trPr/>
        <w:tc>
          <w:tcPr>
            <w:tcW w:w="34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5,383 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5,383 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Time-based restricted stock units</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3,708 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1,159 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3,708 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422 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Performance-based restricted stock units</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697 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697 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w:t>
            </w:r>
          </w:p>
        </w:tc>
        <w:tc>
          <w:tcPr>
            <w:tcW w:w="75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9,142</w:t>
            </w:r>
            <w:r>
              <w:rPr>
                <w:color w:val="000000"/>
              </w:rPr>
              <w:t> </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1,979</w:t>
            </w:r>
            <w:r>
              <w:rPr>
                <w:color w:val="000000"/>
              </w:rPr>
              <w:t> </w:t>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9,142</w:t>
            </w:r>
            <w:r>
              <w:rPr>
                <w:color w:val="000000"/>
              </w:rPr>
              <w:t> </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1,242</w:t>
            </w:r>
            <w:r>
              <w:rPr>
                <w:color w:val="000000"/>
              </w:rPr>
              <w:t> </w:t>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84150"/>
                <wp:effectExtent l="0" t="0" r="0" b="0"/>
                <wp:wrapNone/>
                <wp:docPr id="16" name="Frame15"/>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60" w:after="283"/>
        <w:jc w:val="both"/>
        <w:rPr/>
      </w:pPr>
      <w:hyperlink w:anchor="i6a3ffadfac5b43cb82c32b479edcc3ef_7">
        <w:r>
          <w:rPr>
            <w:rStyle w:val="InternetLink"/>
            <w:rFonts w:ascii="Proxima Nova;sans-serif" w:hAnsi="Proxima Nov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7—Fair Value of Financial Instruments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Assets and Liabilities Measured at Fair Value on a Recurring Basis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Financial assets measured at fair value on a recurring basis were as follows:</w:t>
      </w:r>
    </w:p>
    <w:tbl>
      <w:tblPr>
        <w:tblW w:w="8172" w:type="dxa"/>
        <w:jc w:val="left"/>
        <w:tblInd w:w="0" w:type="dxa"/>
        <w:tblLayout w:type="fixed"/>
        <w:tblCellMar>
          <w:top w:w="28" w:type="dxa"/>
          <w:left w:w="28" w:type="dxa"/>
          <w:bottom w:w="28" w:type="dxa"/>
          <w:right w:w="28" w:type="dxa"/>
        </w:tblCellMar>
      </w:tblPr>
      <w:tblGrid>
        <w:gridCol w:w="691"/>
        <w:gridCol w:w="605"/>
        <w:gridCol w:w="608"/>
        <w:gridCol w:w="211"/>
        <w:gridCol w:w="856"/>
        <w:gridCol w:w="109"/>
        <w:gridCol w:w="109"/>
        <w:gridCol w:w="109"/>
        <w:gridCol w:w="109"/>
        <w:gridCol w:w="302"/>
        <w:gridCol w:w="1227"/>
        <w:gridCol w:w="156"/>
        <w:gridCol w:w="156"/>
        <w:gridCol w:w="156"/>
        <w:gridCol w:w="156"/>
        <w:gridCol w:w="302"/>
        <w:gridCol w:w="582"/>
        <w:gridCol w:w="156"/>
        <w:gridCol w:w="156"/>
        <w:gridCol w:w="156"/>
        <w:gridCol w:w="156"/>
        <w:gridCol w:w="302"/>
        <w:gridCol w:w="582"/>
        <w:gridCol w:w="220"/>
      </w:tblGrid>
      <w:tr>
        <w:trPr/>
        <w:tc>
          <w:tcPr>
            <w:tcW w:w="69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Fair value measurement as of September 30, 2025</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1</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2</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3</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18"/>
              </w:rPr>
            </w:pPr>
            <w:r>
              <w:rPr>
                <w:rFonts w:ascii="Arial;sans-serif" w:hAnsi="Arial;sans-serif"/>
                <w:b w:val="false"/>
                <w:i/>
                <w:color w:val="000000"/>
                <w:sz w:val="18"/>
              </w:rPr>
              <w:t>(in thousands)</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equivalents: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190,521 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190,521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190,521</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93" w:type="dxa"/>
        <w:jc w:val="left"/>
        <w:tblInd w:w="0" w:type="dxa"/>
        <w:tblLayout w:type="fixed"/>
        <w:tblCellMar>
          <w:top w:w="28" w:type="dxa"/>
          <w:left w:w="28" w:type="dxa"/>
          <w:bottom w:w="28" w:type="dxa"/>
          <w:right w:w="28" w:type="dxa"/>
        </w:tblCellMar>
      </w:tblPr>
      <w:tblGrid>
        <w:gridCol w:w="691"/>
        <w:gridCol w:w="605"/>
        <w:gridCol w:w="608"/>
        <w:gridCol w:w="211"/>
        <w:gridCol w:w="856"/>
        <w:gridCol w:w="109"/>
        <w:gridCol w:w="109"/>
        <w:gridCol w:w="109"/>
        <w:gridCol w:w="109"/>
        <w:gridCol w:w="297"/>
        <w:gridCol w:w="1208"/>
        <w:gridCol w:w="153"/>
        <w:gridCol w:w="153"/>
        <w:gridCol w:w="153"/>
        <w:gridCol w:w="153"/>
        <w:gridCol w:w="297"/>
        <w:gridCol w:w="573"/>
        <w:gridCol w:w="153"/>
        <w:gridCol w:w="153"/>
        <w:gridCol w:w="153"/>
        <w:gridCol w:w="153"/>
        <w:gridCol w:w="297"/>
        <w:gridCol w:w="573"/>
        <w:gridCol w:w="217"/>
      </w:tblGrid>
      <w:tr>
        <w:trPr/>
        <w:tc>
          <w:tcPr>
            <w:tcW w:w="69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6"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Fair value measurement as of December 31, 2024</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1</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2</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3</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18"/>
              </w:rPr>
            </w:pPr>
            <w:r>
              <w:rPr>
                <w:rFonts w:ascii="Arial;sans-serif" w:hAnsi="Arial;sans-serif"/>
                <w:b w:val="false"/>
                <w:i/>
                <w:color w:val="000000"/>
                <w:sz w:val="18"/>
              </w:rPr>
              <w:t>(in thousands)</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equivalents: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238,198 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238,198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238,198</w:t>
            </w:r>
            <w:r>
              <w:rPr>
                <w:color w:val="000000"/>
              </w:rPr>
              <w:t>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Arial;sans-serif" w:hAnsi="Arial;sans-serif"/>
          <w:b w:val="false"/>
          <w:color w:val="000000"/>
          <w:sz w:val="20"/>
        </w:rPr>
        <w:t xml:space="preserve">The amounts reported in our unaudited Condensed Consolidated Balance Sheets as current assets or current liabilities, including </w:t>
      </w:r>
      <w:r>
        <w:rPr>
          <w:rFonts w:ascii="Arial;sans-serif" w:hAnsi="Arial;sans-serif"/>
          <w:b w:val="false"/>
          <w:i/>
          <w:color w:val="000000"/>
          <w:sz w:val="20"/>
        </w:rPr>
        <w:t>Cash</w:t>
      </w:r>
      <w:r>
        <w:rPr>
          <w:rFonts w:ascii="Arial;sans-serif" w:hAnsi="Arial;sans-serif"/>
          <w:b w:val="false"/>
          <w:color w:val="000000"/>
          <w:sz w:val="20"/>
        </w:rPr>
        <w:t xml:space="preserve">, </w:t>
      </w:r>
      <w:r>
        <w:rPr>
          <w:rFonts w:ascii="Arial;sans-serif" w:hAnsi="Arial;sans-serif"/>
          <w:b w:val="false"/>
          <w:i/>
          <w:color w:val="000000"/>
          <w:sz w:val="20"/>
        </w:rPr>
        <w:t>Restricted cash</w:t>
      </w:r>
      <w:r>
        <w:rPr>
          <w:rFonts w:ascii="Arial;sans-serif" w:hAnsi="Arial;sans-serif"/>
          <w:b w:val="false"/>
          <w:color w:val="000000"/>
          <w:sz w:val="20"/>
        </w:rPr>
        <w:t xml:space="preserve">, </w:t>
      </w:r>
      <w:r>
        <w:rPr>
          <w:rFonts w:ascii="Arial;sans-serif" w:hAnsi="Arial;sans-serif"/>
          <w:b w:val="false"/>
          <w:i/>
          <w:color w:val="000000"/>
          <w:sz w:val="20"/>
        </w:rPr>
        <w:t>Accounts receivable, net</w:t>
      </w:r>
      <w:r>
        <w:rPr>
          <w:rFonts w:ascii="Arial;sans-serif" w:hAnsi="Arial;sans-serif"/>
          <w:b w:val="false"/>
          <w:color w:val="000000"/>
          <w:sz w:val="20"/>
        </w:rPr>
        <w:t xml:space="preserve">, </w:t>
      </w:r>
      <w:r>
        <w:rPr>
          <w:rFonts w:ascii="Arial;sans-serif" w:hAnsi="Arial;sans-serif"/>
          <w:b w:val="false"/>
          <w:i/>
          <w:color w:val="000000"/>
          <w:sz w:val="20"/>
        </w:rPr>
        <w:t>Other current assets</w:t>
      </w:r>
      <w:r>
        <w:rPr>
          <w:rFonts w:ascii="Arial;sans-serif" w:hAnsi="Arial;sans-serif"/>
          <w:b w:val="false"/>
          <w:color w:val="000000"/>
          <w:sz w:val="20"/>
        </w:rPr>
        <w:t xml:space="preserve">, </w:t>
      </w:r>
      <w:r>
        <w:rPr>
          <w:rFonts w:ascii="Arial;sans-serif" w:hAnsi="Arial;sans-serif"/>
          <w:b w:val="false"/>
          <w:i/>
          <w:color w:val="000000"/>
          <w:sz w:val="20"/>
        </w:rPr>
        <w:t>Accounts payable</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Accrued expenses</w:t>
      </w:r>
      <w:r>
        <w:rPr>
          <w:rFonts w:ascii="Arial;sans-serif" w:hAnsi="Arial;sans-serif"/>
          <w:b w:val="false"/>
          <w:color w:val="000000"/>
          <w:sz w:val="20"/>
        </w:rPr>
        <w:t>, each approximate their fair value due to the short-term maturities of the instruments.</w:t>
      </w:r>
    </w:p>
    <w:p>
      <w:pPr>
        <w:pStyle w:val="TextBody"/>
        <w:bidi w:val="0"/>
        <w:spacing w:lineRule="auto" w:line="288" w:before="120" w:after="283"/>
        <w:jc w:val="both"/>
        <w:rPr/>
      </w:pPr>
      <w:r>
        <w:rPr>
          <w:rFonts w:ascii="Arial;sans-serif" w:hAnsi="Arial;sans-serif"/>
          <w:b w:val="false"/>
          <w:color w:val="000000"/>
          <w:sz w:val="20"/>
        </w:rPr>
        <w:t xml:space="preserve">The carrying amount of our debt approximates its fair value due to its variable interest rate. The fair value is determined using the Adjusted SOFR as of September 30, 2025 and December 31, 2024 plus an applicable spread, a Level 2 classification in the fair value hierarchy. Refer to Note 4 - </w:t>
      </w:r>
      <w:r>
        <w:rPr>
          <w:rFonts w:ascii="Arial;sans-serif" w:hAnsi="Arial;sans-serif"/>
          <w:b w:val="false"/>
          <w:i/>
          <w:color w:val="000000"/>
          <w:sz w:val="20"/>
        </w:rPr>
        <w:t>Long-term Debt</w:t>
      </w:r>
      <w:r>
        <w:rPr>
          <w:color w:val="000000"/>
        </w:rPr>
        <w:t xml:space="preserve"> </w:t>
      </w:r>
      <w:r>
        <w:rPr>
          <w:rFonts w:ascii="Arial;sans-serif" w:hAnsi="Arial;sans-serif"/>
          <w:b w:val="false"/>
          <w:color w:val="000000"/>
          <w:sz w:val="20"/>
        </w:rPr>
        <w:t>for the carrying amount of our debt.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accounting policy is to recognize transfers between levels of the fair value hierarchy on the date of the event or change in circumstances that caused the transfer. There were no transfers into or out of any level for the periods ended September 30,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8—Segment Reporting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operate as one operating segment. The following table sets forth significant expense categories and other specified amounts included in consolidated net income (loss) that are reviewed by the chief operating decision maker (“CODM”), or are otherwise regularly provided to the CODM, for the three and nine months ended September 30,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84150"/>
                <wp:effectExtent l="0" t="0" r="0" b="0"/>
                <wp:wrapNone/>
                <wp:docPr id="17" name="Frame16"/>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60" w:after="283"/>
        <w:jc w:val="both"/>
        <w:rPr/>
      </w:pPr>
      <w:hyperlink w:anchor="i6a3ffadfac5b43cb82c32b479edcc3ef_7">
        <w:r>
          <w:rPr>
            <w:rStyle w:val="InternetLink"/>
            <w:rFonts w:ascii="Proxima Nova;sans-serif" w:hAnsi="Proxima Nov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238"/>
        <w:gridCol w:w="1084"/>
        <w:gridCol w:w="1095"/>
        <w:gridCol w:w="279"/>
        <w:gridCol w:w="995"/>
        <w:gridCol w:w="144"/>
        <w:gridCol w:w="144"/>
        <w:gridCol w:w="144"/>
        <w:gridCol w:w="144"/>
        <w:gridCol w:w="279"/>
        <w:gridCol w:w="995"/>
        <w:gridCol w:w="144"/>
        <w:gridCol w:w="109"/>
        <w:gridCol w:w="109"/>
        <w:gridCol w:w="109"/>
        <w:gridCol w:w="267"/>
        <w:gridCol w:w="952"/>
        <w:gridCol w:w="138"/>
        <w:gridCol w:w="138"/>
        <w:gridCol w:w="138"/>
        <w:gridCol w:w="138"/>
        <w:gridCol w:w="267"/>
        <w:gridCol w:w="952"/>
        <w:gridCol w:w="203"/>
      </w:tblGrid>
      <w:tr>
        <w:trPr/>
        <w:tc>
          <w:tcPr>
            <w:tcW w:w="123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 September 30,</w:t>
            </w:r>
          </w:p>
        </w:tc>
      </w:tr>
      <w:tr>
        <w:trPr/>
        <w:tc>
          <w:tcPr>
            <w:tcW w:w="3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3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8"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3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Revenue</w:t>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Program fees</w:t>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13,344 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14,161 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43,487 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43,306 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Profit share</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8,470 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6,822 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23,169 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30,037 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Claims administration and other service fees</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2,355 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2,493 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7,216 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7,605 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Total revenue</w:t>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24,169</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23,476</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73,872</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80,948</w:t>
            </w:r>
            <w:r>
              <w:rPr>
                <w:color w:val="000000"/>
              </w:rPr>
              <w:t>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Cost of services</w:t>
            </w:r>
          </w:p>
        </w:tc>
        <w:tc>
          <w:tcPr>
            <w:tcW w:w="14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Employee compensation and benefits</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2,203 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4,199 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6,252 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Other cost of services</w:t>
            </w:r>
            <w:r>
              <w:rPr>
                <w:rFonts w:ascii="Arial;sans-serif" w:hAnsi="Arial;sans-serif"/>
                <w:b w:val="false"/>
                <w:color w:val="000000"/>
                <w:sz w:val="13"/>
              </w:rPr>
              <w:t>(1)</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3,556 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3,467 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11,601 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10,491 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cost of services</w:t>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5,318</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6,127</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16,911</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17,590</w:t>
            </w:r>
            <w:r>
              <w:rPr>
                <w:color w:val="000000"/>
              </w:rPr>
              <w:t>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Gross profit</w:t>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18,851</w:t>
            </w: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17,349</w:t>
            </w: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56,961</w:t>
            </w: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63,358</w:t>
            </w:r>
            <w:r>
              <w:rPr>
                <w:color w:val="000000"/>
              </w:rPr>
              <w:t>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expenses</w:t>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Employee compensation and benefits</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8,995 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7,636 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30,737 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26,052 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5,307 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5,973 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Professional fees</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6,079 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6,966 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IT services</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2,902 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3,287 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Other</w:t>
            </w:r>
            <w:r>
              <w:rPr>
                <w:rFonts w:ascii="Arial;sans-serif" w:hAnsi="Arial;sans-serif"/>
                <w:b w:val="false"/>
                <w:color w:val="000000"/>
                <w:sz w:val="13"/>
              </w:rPr>
              <w:t>(2)</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12,959 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2,637 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16,734 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7,032 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operating expenses</w:t>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26,552</w:t>
            </w: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15,483</w:t>
            </w: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62,724</w:t>
            </w: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50,179</w:t>
            </w:r>
            <w:r>
              <w:rPr>
                <w:color w:val="000000"/>
              </w:rPr>
              <w:t>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Operating income (loss)</w:t>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(7,701)</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1,866</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(5,763)</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13,179</w:t>
            </w:r>
            <w:r>
              <w:rPr>
                <w:color w:val="000000"/>
              </w:rPr>
              <w:t>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income (expense)</w:t>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Interest expense</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(2,432)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(2,962)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(7,440)</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(8,468)</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Interest income</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2,363 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3,221 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7,220 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9,278 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(7,585)</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2,125 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(5,798)</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13,989 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4,563 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Net income (loss)</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(7,569)</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1,437</w:t>
            </w:r>
            <w:r>
              <w:rPr>
                <w:color w:val="000000"/>
              </w:rPr>
              <w:t>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(5,918)</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9,426</w:t>
            </w:r>
            <w:r>
              <w:rPr>
                <w:color w:val="000000"/>
              </w:rPr>
              <w:t>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pPr>
      <w:r>
        <w:rPr>
          <w:rFonts w:ascii="Arial;sans-serif" w:hAnsi="Arial;sans-serif"/>
          <w:b w:val="false"/>
          <w:color w:val="000000"/>
          <w:sz w:val="12"/>
        </w:rPr>
        <w:t xml:space="preserve">(1) </w:t>
      </w:r>
      <w:r>
        <w:rPr>
          <w:rFonts w:ascii="Arial;sans-serif" w:hAnsi="Arial;sans-serif"/>
          <w:b w:val="false"/>
          <w:color w:val="000000"/>
          <w:sz w:val="18"/>
        </w:rPr>
        <w:t xml:space="preserve">Other cost of services primarily consists of costs incurred to third party partners for partner commissions, fees paid for actuarial services, fees for integration with the loan origination system of automotive lenders and fees paid to credit bureaus and data service providers. </w:t>
      </w:r>
    </w:p>
    <w:p>
      <w:pPr>
        <w:pStyle w:val="TextBody"/>
        <w:bidi w:val="0"/>
        <w:spacing w:lineRule="auto" w:line="288" w:before="60" w:after="283"/>
        <w:jc w:val="both"/>
        <w:rPr/>
      </w:pP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 xml:space="preserve">Other operating expenses includes marketing expenses, insurance expenses, travel expenses, meals and entertainment expenses, facilities expenses and business development expenses. In addition, the three and nine months ended September 30, 2025 include a one-time payment of $11.0 million made in connection with the Allied Amendment (as defined below). See Note 9 - </w:t>
      </w:r>
      <w:r>
        <w:rPr>
          <w:rFonts w:ascii="Arial;sans-serif" w:hAnsi="Arial;sans-serif"/>
          <w:b w:val="false"/>
          <w:i/>
          <w:color w:val="000000"/>
          <w:sz w:val="18"/>
        </w:rPr>
        <w:t>Commitments and Contingencies</w:t>
      </w:r>
      <w:r>
        <w:rPr>
          <w:color w:val="000000"/>
        </w:rPr>
        <w:t xml:space="preserve"> </w:t>
      </w:r>
      <w:r>
        <w:rPr>
          <w:rFonts w:ascii="Arial;sans-serif" w:hAnsi="Arial;sans-serif"/>
          <w:b w:val="false"/>
          <w:color w:val="000000"/>
          <w:sz w:val="18"/>
        </w:rPr>
        <w:t>for additional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9—Commitments and Contingencies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Shareholder Class Action</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 xml:space="preserve">In May 2025, a putative shareholder class action lawsuit was filed against the Company and our three former Chief Executive Officers in the U.S. District Court for the Western District of Texas. The class action was purportedly brought on behalf of persons who allegedly suffered damages as a result of alleged materially false and/or misleading statements and omissions about our business, operations, and prospects in violation of Sections 10(b)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84150"/>
                <wp:effectExtent l="0" t="0" r="0" b="0"/>
                <wp:wrapNone/>
                <wp:docPr id="18" name="Frame17"/>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60" w:after="283"/>
        <w:jc w:val="both"/>
        <w:rPr/>
      </w:pPr>
      <w:hyperlink w:anchor="i6a3ffadfac5b43cb82c32b479edcc3ef_7">
        <w:r>
          <w:rPr>
            <w:rStyle w:val="InternetLink"/>
            <w:rFonts w:ascii="Proxima Nova;sans-serif" w:hAnsi="Proxima Nov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and 20(a) of the Securities Exchange Act of 1934, as amended (the “Exchange Act”), and Rule 10b-5 promulgated thereunder. The complaint alleges that defendants: (1) misrepresented the capabilities of the Company’s risk-based pricing models; (2) issued materially misleading statements regarding the Company’s profit share revenue; (3) failed to disclose the Company’s 2021 and 2022 vintage loans had become worth significantly less than their corresponding outstanding loan balances; (4) misrepresented the underperformance of the Company’s 2023 and 2024 vintage loans; and (5) as a result of the foregoing, Defendants’ positive statements about the Company’s business, operations, and prospects were materially misleading and/or lacked a reasonable basis. Motions for appointment of lead plaintiff were due on June 30, 2025, and a lead plaintiff was appointed on July 17, 2025. On October 10, 2025, the lead plaintiff gave notice of voluntary dismissal of the lawsuit, and on October 16, 2025, the lawsuit was dismissed without prejudice.</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Allied Reseller Agreement Amendment</w:t>
      </w:r>
    </w:p>
    <w:p>
      <w:pPr>
        <w:pStyle w:val="TextBody"/>
        <w:bidi w:val="0"/>
        <w:spacing w:lineRule="auto" w:line="288" w:before="120" w:after="283"/>
        <w:jc w:val="both"/>
        <w:rPr/>
      </w:pPr>
      <w:r>
        <w:rPr>
          <w:rFonts w:ascii="Arial;sans-serif" w:hAnsi="Arial;sans-serif"/>
          <w:b w:val="false"/>
          <w:color w:val="000000"/>
          <w:sz w:val="20"/>
        </w:rPr>
        <w:t xml:space="preserve">On August 13, 2025, the Company and Allied Solutions, LLC (“Allied”) entered into an amendment to their reseller agreement (the “Allied Amendment”) to, among other matters, extend the term of the agreement and to provide for a one-time payment to Allied of $11.0 million in exchange for the extinguishment of Allied’s right to certain ongoing compensation and the amendment of the schedule of referral fees payable to Allied. This payment was solely in exchange for such modification of compensation rights and is not conditioned upon, nor related to, any future performance or obligations of either party. All other terms of the original reseller agreement shall otherwise remain in full force and effect. The payment was made during the three months ended September 30, 2025 and included in </w:t>
      </w:r>
      <w:r>
        <w:rPr>
          <w:rFonts w:ascii="Arial;sans-serif" w:hAnsi="Arial;sans-serif"/>
          <w:b w:val="false"/>
          <w:i/>
          <w:color w:val="000000"/>
          <w:sz w:val="20"/>
        </w:rPr>
        <w:t>General and administrative</w:t>
      </w:r>
      <w:r>
        <w:rPr>
          <w:color w:val="000000"/>
        </w:rPr>
        <w:t xml:space="preserve"> </w:t>
      </w:r>
      <w:r>
        <w:rPr>
          <w:rFonts w:ascii="Arial;sans-serif" w:hAnsi="Arial;sans-serif"/>
          <w:b w:val="false"/>
          <w:color w:val="000000"/>
          <w:sz w:val="20"/>
        </w:rPr>
        <w:t xml:space="preserve">expense in the Condensed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84150"/>
                <wp:effectExtent l="0" t="0" r="0" b="0"/>
                <wp:wrapNone/>
                <wp:docPr id="19" name="Frame18"/>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60" w:after="283"/>
        <w:jc w:val="both"/>
        <w:rPr/>
      </w:pPr>
      <w:hyperlink w:anchor="i6a3ffadfac5b43cb82c32b479edcc3ef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The following discussion and analysis provides information that management believes is relevant to an assessment and understanding of Open Lending Corporation’s unaudited condensed consolidated results of operations and financial condition. The discussion should be read in conjunction with the audited consolidated financial statements and notes thereto in our Annual Report on Form 10-K for the year ended December 31, 2024 (our “Annual Report”). This discussion contains forward-looking statements and involves numerous risks and uncertainties, including, but not limited to, those described under the heading “Risk Factors” set forth elsewhere in this Quarterly Report on Form 10-Q (this “Quarterly Report”) and our Annual Report. Actual results may differ materially from those contained in any forward-looking statements. Unless the context otherwise requires, references in this “Management’s Discussion and Analysis of Financial Condition and Results of Operations” is intended to mean the business and operations of Open Lending Corporation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84150"/>
                <wp:effectExtent l="0" t="0" r="0" b="0"/>
                <wp:wrapNone/>
                <wp:docPr id="20" name="Frame19"/>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60" w:after="283"/>
        <w:jc w:val="both"/>
        <w:rPr/>
      </w:pPr>
      <w:hyperlink w:anchor="i6a3ffadfac5b43cb82c32b479edcc3e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CAUTIONARY NOTE REGARDING FORWARD-LOOKING STATEMENTS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This Quarterly Report contains forward-looking statements within the meaning of Section 27A of the Securities Act of 1933, as amended, and Section 21E of the Exchange Act, that involve substantial risks and uncertainties. Forward-looking statements generally relate to future events or our future financial or operating performance. In some cases, you can identify forward-looking statements because they contain words such as “may,” “will,” “appears,”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include, but are not limited to, statements about:</w:t>
      </w:r>
    </w:p>
    <w:p>
      <w:pPr>
        <w:pStyle w:val="TextBody"/>
        <w:bidi w:val="0"/>
        <w:spacing w:lineRule="auto" w:line="288" w:before="120" w:after="283"/>
        <w:ind w:left="0" w:right="0" w:hanging="540"/>
        <w:jc w:val="both"/>
        <w:rPr/>
      </w:pPr>
      <w:r>
        <w:rPr>
          <w:color w:val="000000"/>
        </w:rPr>
        <w:t>•</w:t>
      </w:r>
      <w:r>
        <w:rPr>
          <w:rFonts w:ascii="Arial;sans-serif" w:hAnsi="Arial;sans-serif"/>
          <w:b w:val="false"/>
          <w:color w:val="000000"/>
          <w:sz w:val="20"/>
        </w:rPr>
        <w:t>our financial performance;</w:t>
      </w:r>
    </w:p>
    <w:p>
      <w:pPr>
        <w:pStyle w:val="TextBody"/>
        <w:bidi w:val="0"/>
        <w:spacing w:lineRule="auto" w:line="288" w:before="120" w:after="283"/>
        <w:ind w:left="0" w:right="0" w:hanging="540"/>
        <w:jc w:val="both"/>
        <w:rPr/>
      </w:pPr>
      <w:r>
        <w:rPr>
          <w:color w:val="000000"/>
        </w:rPr>
        <w:t>•</w:t>
      </w:r>
      <w:r>
        <w:rPr>
          <w:rFonts w:ascii="Arial;sans-serif" w:hAnsi="Arial;sans-serif"/>
          <w:b w:val="false"/>
          <w:color w:val="000000"/>
          <w:sz w:val="20"/>
        </w:rPr>
        <w:t>changes in our strategy, future operations, financial position, forecasting model, estimated revenues and losses, projected costs, prospects and plans;</w:t>
      </w:r>
    </w:p>
    <w:p>
      <w:pPr>
        <w:pStyle w:val="TextBody"/>
        <w:bidi w:val="0"/>
        <w:spacing w:lineRule="auto" w:line="288" w:before="120" w:after="283"/>
        <w:ind w:left="0" w:right="0" w:hanging="540"/>
        <w:jc w:val="both"/>
        <w:rPr/>
      </w:pPr>
      <w:r>
        <w:rPr>
          <w:color w:val="000000"/>
        </w:rPr>
        <w:t>•</w:t>
      </w:r>
      <w:r>
        <w:rPr>
          <w:rFonts w:ascii="Arial;sans-serif" w:hAnsi="Arial;sans-serif"/>
          <w:b w:val="false"/>
          <w:color w:val="000000"/>
          <w:sz w:val="20"/>
        </w:rPr>
        <w:t>the turnover in automotive lenders, as well as varying activation rates and volatility in usage of LPP by automotive lenders;</w:t>
      </w:r>
    </w:p>
    <w:p>
      <w:pPr>
        <w:pStyle w:val="TextBody"/>
        <w:bidi w:val="0"/>
        <w:spacing w:lineRule="auto" w:line="288" w:before="120" w:after="283"/>
        <w:ind w:left="0" w:right="0" w:hanging="540"/>
        <w:jc w:val="both"/>
        <w:rPr/>
      </w:pPr>
      <w:r>
        <w:rPr>
          <w:color w:val="000000"/>
        </w:rPr>
        <w:t>•</w:t>
      </w:r>
      <w:r>
        <w:rPr>
          <w:rFonts w:ascii="Arial;sans-serif" w:hAnsi="Arial;sans-serif"/>
          <w:b w:val="false"/>
          <w:color w:val="000000"/>
          <w:sz w:val="20"/>
        </w:rPr>
        <w:t>the impact of macroeconomic conditions and the relative strength of the overall economy, including its effect on unemployment, consumer spending, consumer demand for automotive products, and the U.S. government shutdown;</w:t>
      </w:r>
    </w:p>
    <w:p>
      <w:pPr>
        <w:pStyle w:val="TextBody"/>
        <w:bidi w:val="0"/>
        <w:spacing w:lineRule="auto" w:line="288" w:before="120" w:after="283"/>
        <w:ind w:left="0" w:right="0" w:hanging="540"/>
        <w:jc w:val="both"/>
        <w:rPr/>
      </w:pPr>
      <w:r>
        <w:rPr>
          <w:color w:val="000000"/>
        </w:rPr>
        <w:t>•</w:t>
      </w:r>
      <w:r>
        <w:rPr>
          <w:rFonts w:ascii="Arial;sans-serif" w:hAnsi="Arial;sans-serif"/>
          <w:b w:val="false"/>
          <w:color w:val="000000"/>
          <w:sz w:val="20"/>
        </w:rPr>
        <w:t>the costs of services in absolute dollars and as a percentage of revenue;</w:t>
      </w:r>
    </w:p>
    <w:p>
      <w:pPr>
        <w:pStyle w:val="TextBody"/>
        <w:bidi w:val="0"/>
        <w:spacing w:lineRule="auto" w:line="288" w:before="120" w:after="283"/>
        <w:ind w:left="0" w:right="0" w:hanging="540"/>
        <w:jc w:val="both"/>
        <w:rPr/>
      </w:pPr>
      <w:r>
        <w:rPr>
          <w:color w:val="000000"/>
        </w:rPr>
        <w:t>•</w:t>
      </w:r>
      <w:r>
        <w:rPr>
          <w:rFonts w:ascii="Arial;sans-serif" w:hAnsi="Arial;sans-serif"/>
          <w:b w:val="false"/>
          <w:color w:val="000000"/>
          <w:sz w:val="20"/>
        </w:rPr>
        <w:t>general and administrative expenses, selling and marketing expenses and research and development expenses in absolute dollars and as a percentage of revenue;</w:t>
      </w:r>
    </w:p>
    <w:p>
      <w:pPr>
        <w:pStyle w:val="TextBody"/>
        <w:bidi w:val="0"/>
        <w:spacing w:lineRule="auto" w:line="288" w:before="120" w:after="283"/>
        <w:ind w:left="0" w:right="0" w:hanging="540"/>
        <w:jc w:val="both"/>
        <w:rPr/>
      </w:pPr>
      <w:r>
        <w:rPr>
          <w:color w:val="000000"/>
        </w:rPr>
        <w:t>•</w:t>
      </w:r>
      <w:r>
        <w:rPr>
          <w:rFonts w:ascii="Arial;sans-serif" w:hAnsi="Arial;sans-serif"/>
          <w:b w:val="false"/>
          <w:color w:val="000000"/>
          <w:sz w:val="20"/>
        </w:rPr>
        <w:t>the growth in loan volume from our top ten automotive lenders relative to that of other automotive lenders and associated concentration of risks;</w:t>
      </w:r>
    </w:p>
    <w:p>
      <w:pPr>
        <w:pStyle w:val="TextBody"/>
        <w:bidi w:val="0"/>
        <w:spacing w:lineRule="auto" w:line="288" w:before="120" w:after="283"/>
        <w:ind w:left="0" w:right="0" w:hanging="540"/>
        <w:jc w:val="both"/>
        <w:rPr/>
      </w:pPr>
      <w:r>
        <w:rPr>
          <w:color w:val="000000"/>
        </w:rPr>
        <w:t>•</w:t>
      </w:r>
      <w:r>
        <w:rPr>
          <w:rFonts w:ascii="Arial;sans-serif" w:hAnsi="Arial;sans-serif"/>
          <w:b w:val="false"/>
          <w:color w:val="000000"/>
          <w:sz w:val="20"/>
        </w:rPr>
        <w:t>our compliance with regulatory requirements, including federal and state consumer lending and consumer protection laws;</w:t>
      </w:r>
    </w:p>
    <w:p>
      <w:pPr>
        <w:pStyle w:val="TextBody"/>
        <w:bidi w:val="0"/>
        <w:spacing w:lineRule="auto" w:line="288" w:before="120" w:after="283"/>
        <w:ind w:left="0" w:right="0" w:hanging="540"/>
        <w:jc w:val="both"/>
        <w:rPr/>
      </w:pPr>
      <w:r>
        <w:rPr>
          <w:color w:val="000000"/>
        </w:rPr>
        <w:t>•</w:t>
      </w:r>
      <w:r>
        <w:rPr>
          <w:rFonts w:ascii="Arial;sans-serif" w:hAnsi="Arial;sans-serif"/>
          <w:b w:val="false"/>
          <w:color w:val="000000"/>
          <w:sz w:val="20"/>
        </w:rPr>
        <w:t>expansion plans and opportunities;</w:t>
      </w:r>
    </w:p>
    <w:p>
      <w:pPr>
        <w:pStyle w:val="TextBody"/>
        <w:bidi w:val="0"/>
        <w:spacing w:lineRule="auto" w:line="288" w:before="120" w:after="283"/>
        <w:ind w:left="0" w:right="0" w:hanging="540"/>
        <w:jc w:val="both"/>
        <w:rPr/>
      </w:pPr>
      <w:r>
        <w:rPr>
          <w:color w:val="000000"/>
        </w:rPr>
        <w:t>•</w:t>
      </w:r>
      <w:r>
        <w:rPr>
          <w:rFonts w:ascii="Arial;sans-serif" w:hAnsi="Arial;sans-serif"/>
          <w:b w:val="false"/>
          <w:color w:val="000000"/>
          <w:sz w:val="20"/>
        </w:rPr>
        <w:t>the impact of projected operating cash flows and available cash on hand on our business operations in the future;</w:t>
      </w:r>
    </w:p>
    <w:p>
      <w:pPr>
        <w:pStyle w:val="TextBody"/>
        <w:bidi w:val="0"/>
        <w:spacing w:lineRule="auto" w:line="288" w:before="120" w:after="283"/>
        <w:ind w:left="0" w:right="0" w:hanging="540"/>
        <w:jc w:val="both"/>
        <w:rPr/>
      </w:pPr>
      <w:r>
        <w:rPr>
          <w:color w:val="000000"/>
        </w:rPr>
        <w:t>•</w:t>
      </w:r>
      <w:r>
        <w:rPr>
          <w:rFonts w:ascii="Arial;sans-serif" w:hAnsi="Arial;sans-serif"/>
          <w:b w:val="false"/>
          <w:color w:val="000000"/>
          <w:sz w:val="20"/>
        </w:rPr>
        <w:t>the ability to maintain the listing of our common stock on the Nasdaq Stock Market LLC;</w:t>
      </w:r>
    </w:p>
    <w:p>
      <w:pPr>
        <w:pStyle w:val="TextBody"/>
        <w:bidi w:val="0"/>
        <w:spacing w:lineRule="auto" w:line="288" w:before="120" w:after="283"/>
        <w:ind w:left="0" w:right="0" w:hanging="540"/>
        <w:jc w:val="both"/>
        <w:rPr/>
      </w:pPr>
      <w:r>
        <w:rPr>
          <w:color w:val="000000"/>
        </w:rPr>
        <w:t>•</w:t>
      </w:r>
      <w:r>
        <w:rPr>
          <w:rFonts w:ascii="Arial;sans-serif" w:hAnsi="Arial;sans-serif"/>
          <w:b w:val="false"/>
          <w:color w:val="000000"/>
          <w:sz w:val="20"/>
        </w:rPr>
        <w:t>changes in applicable laws or regulations, including under the current U.S. administration; and</w:t>
      </w:r>
    </w:p>
    <w:p>
      <w:pPr>
        <w:pStyle w:val="TextBody"/>
        <w:bidi w:val="0"/>
        <w:spacing w:lineRule="auto" w:line="288" w:before="120" w:after="283"/>
        <w:ind w:left="0" w:right="0" w:hanging="540"/>
        <w:jc w:val="both"/>
        <w:rPr/>
      </w:pPr>
      <w:r>
        <w:rPr>
          <w:color w:val="000000"/>
        </w:rPr>
        <w:t>•</w:t>
      </w:r>
      <w:r>
        <w:rPr>
          <w:rFonts w:ascii="Arial;sans-serif" w:hAnsi="Arial;sans-serif"/>
          <w:b w:val="false"/>
          <w:color w:val="000000"/>
          <w:sz w:val="20"/>
        </w:rPr>
        <w:t>applicable taxes, inflation, tariffs, supply chain disruptions, including global hostilities and responses thereto, interest rates and the regulatory environment.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All forward-looking statements are based on information and estimates available to us at the time of this Quarterly Report and are not guarantees of future financial performance. We undertake no obligation to update any forward-looking statements made in this Quarterly Report to reflect events or circumstances after the date of this Quarterly Report or to reflect new information or the occurrence of unanticipated events, except as required by law.</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outcome of the events described in these forward-looking statements is subject to known and unknown risks, uncertainties and other factors described in the section titled “Risk Factors” and elsewhere in this Quarterly Report and our Annual Report. We caution you that the foregoing list may not contain all of the forward-looking statements made in this Quarterly Report. You should not rely upon forward-looking statements as predictions of future events.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You should not place undue reliance on these forward-looking statements in deciding whether to invest in our securities. As a result of a number of known and unknown risks and uncertainties, our actual results or performance may be materially different from those expressed or implied by these forward-looking statements.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Should one or more of these risks or uncertainties materialize, or should any of the underlying assumptions prove incorrect, actual results may vary in material respects from those expressed or implied by these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84150"/>
                <wp:effectExtent l="0" t="0" r="0" b="0"/>
                <wp:wrapNone/>
                <wp:docPr id="21" name="Frame20"/>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60" w:after="283"/>
        <w:jc w:val="both"/>
        <w:rPr/>
      </w:pPr>
      <w:hyperlink w:anchor="i6a3ffadfac5b43cb82c32b479edcc3e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Business Overview</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are a leading provider of lending enablement and risk analytics to credit unions, regional banks, finance companies and the captive finance companies of automakers. Our customers, collectively referred to herein as automotive lenders, make automotive consumer loans to underserved near-prime and non-prime borrowers by harnessing our risk-based interest rate pricing models, powered by our proprietary data and real-time underwriting of automotive loan default insurance coverage from insurers. Since our inception in 2000, we have facilitated over one million automotive loans representing over $27.3 billion in originations, accumulated approximately 25 years of proprietary data and developed over two million unique risk profiles. We currently serve 448 active lenders.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specialize in risk-based pricing and modeling and provide automated decision-technology for automotive lenders throughout the U.S. We target the financing needs of near-prime and non-prime borrowers, or borrowers with a credit bureau score generally between 560 and 699, who are underserved in the automotive finance industry. Traditional lenders focus on prime borrowers, where an efficient market has developed with interest rate competition that benefits borrowers. Independent finance companies focus on sub-prime borrowers. Borrowers who must utilize the near-prime and non-prime automotive lending market have fewer lenders focused on loans with longer terms or higher advance rates. As a result, many near-prime and non-prime borrowers turn to sub-prime lenders, resulting in higher interest rate loan offerings than such borrower’s credit profile often merits or warrants. We seek to make this market more competitive, resulting in more attractive loan terms.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flagship product, LPP, is a cloud-based automotive lending enablement platform. LPP supports loans made to near-prime and non-prime borrowers and is designed to underwrite default insurance by linking automotive lenders to our insurance partners. The platform uses risk-based pricing models which enable automotive lenders to assess the credit risk of a potential borrower using data driven analysis. Our proprietary risk models project loan performance, including expected losses and prepayments, in arriving at the optimal contract interest rate. With five-second decisioning, LPP recommends a risk-based, all-inclusive interest rate for a loan that is customized to each automotive lender, reflecting cost of capital, loan servicing and acquisition costs, expected recovery rates and target return on assets. LPP risk models use a proprietary score in assessing and pricing risk on automotive loan applications. This score combines credit bureau data and Fair Credit Reporting Act-compliant alternative consumer data to more effectively assess risk and determine the appropriate insurance premium for any given loan application.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LPP is powered by technology that delivers speed and scalability in providing interest rate decisioning to automotive lenders. It supports the full transaction lifecycle, including credit application, underwriting, real-time insurance approval, settlement, servicing, invoicing of insurance premiums and fees and advanced data analytics of the automotive lender’s portfolio under the program. Through electronic system integration, our software technology connects us to parties in our ecosystem.</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 key element of LPP is the unique database that drives risk decisioning using data accumulated for approximately 25 years. When a loan is insured at origination, all attributes of the transaction are stored in our database. Through the claims management process, we ultimately obtain loan life performance data on each insured loan. Having granular origination and performance data allows our data scientists and actuaries to evolve and refine risk models, based on actual experience and third-party information 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Executive Overview</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facilitate certified loans and have achieved financial success by targeting the financing needs of near-prime and non-prime borrowers who are underserved in the automotive finance industry.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facilitated 23,880 and 78,040 certified loans during the three and nine months ended September 30, 2025, respectively, as compared to 27,435 and 84,587 certified loans during the three and nine months ended September 30, 2024, respectively.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Total revenue was $24.2 million and $73.9 million for the three and nine months ended September 30, 2025, respectively, as compared to $23.5 million and $80.9 million during the three and nine months ended September 30, 2024, respectively.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Operating loss was $7.7 million and $5.8 million for the three and nine months ended September 30, 2025, respectively, as compared to operating income of $1.9 million and $13.2 million in the three and nine months ended September 30,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84150"/>
                <wp:effectExtent l="0" t="0" r="0" b="0"/>
                <wp:wrapNone/>
                <wp:docPr id="22" name="Frame21"/>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60" w:after="283"/>
        <w:jc w:val="both"/>
        <w:rPr/>
      </w:pPr>
      <w:hyperlink w:anchor="i6a3ffadfac5b43cb82c32b479edcc3ef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Net loss was $7.6 million and $5.9 million for the three and nine months ended September 30, 2025, respectively, as compared to net income of $1.4 million and $9.4 million for the three and nine months ended September 30, 2024, respectively.</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Allied Amendment</w:t>
      </w:r>
    </w:p>
    <w:p>
      <w:pPr>
        <w:pStyle w:val="TextBody"/>
        <w:bidi w:val="0"/>
        <w:spacing w:lineRule="auto" w:line="288" w:before="120" w:after="283"/>
        <w:jc w:val="both"/>
        <w:rPr/>
      </w:pPr>
      <w:r>
        <w:rPr>
          <w:rFonts w:ascii="Arial;sans-serif" w:hAnsi="Arial;sans-serif"/>
          <w:b w:val="false"/>
          <w:color w:val="000000"/>
          <w:sz w:val="20"/>
        </w:rPr>
        <w:t xml:space="preserve">On August 13, 2025, the Company and Allied entered into an amendment to their reseller agreement (the “Allied Amendment”) to, among other matters, extend the term of the agreement and to provide for a one-time payment of $11.0 million in exchange for the extinguishment of Allied’s right to certain ongoing compensation and the amendment of the schedule of referral fees payable to Allied. See Note 9. </w:t>
      </w:r>
      <w:r>
        <w:rPr>
          <w:rFonts w:ascii="Arial;sans-serif" w:hAnsi="Arial;sans-serif"/>
          <w:b w:val="false"/>
          <w:i/>
          <w:color w:val="000000"/>
          <w:sz w:val="20"/>
        </w:rPr>
        <w:t>Commitments and Contingencies</w:t>
      </w:r>
      <w:r>
        <w:rPr>
          <w:color w:val="000000"/>
        </w:rPr>
        <w:t xml:space="preserve"> </w:t>
      </w:r>
      <w:r>
        <w:rPr>
          <w:rFonts w:ascii="Arial;sans-serif" w:hAnsi="Arial;sans-serif"/>
          <w:b w:val="false"/>
          <w:color w:val="000000"/>
          <w:sz w:val="20"/>
        </w:rPr>
        <w:t>in the Notes to Condensed Consolidated Financial Statements for additional information.</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Highlights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table below summarizes the dollar value of insured loans facilitated and the number of new contracts we signed with automotive lenders for the three and nine months ended September 30, 2025 and 2024.</w:t>
      </w:r>
    </w:p>
    <w:tbl>
      <w:tblPr>
        <w:tblW w:w="10205" w:type="dxa"/>
        <w:jc w:val="center"/>
        <w:tblInd w:w="0" w:type="dxa"/>
        <w:tblLayout w:type="fixed"/>
        <w:tblCellMar>
          <w:top w:w="28" w:type="dxa"/>
          <w:left w:w="28" w:type="dxa"/>
          <w:bottom w:w="28" w:type="dxa"/>
          <w:right w:w="28" w:type="dxa"/>
        </w:tblCellMar>
      </w:tblPr>
      <w:tblGrid>
        <w:gridCol w:w="1283"/>
        <w:gridCol w:w="1059"/>
        <w:gridCol w:w="1061"/>
        <w:gridCol w:w="252"/>
        <w:gridCol w:w="1026"/>
        <w:gridCol w:w="130"/>
        <w:gridCol w:w="130"/>
        <w:gridCol w:w="130"/>
        <w:gridCol w:w="130"/>
        <w:gridCol w:w="252"/>
        <w:gridCol w:w="1026"/>
        <w:gridCol w:w="130"/>
        <w:gridCol w:w="109"/>
        <w:gridCol w:w="109"/>
        <w:gridCol w:w="109"/>
        <w:gridCol w:w="225"/>
        <w:gridCol w:w="1090"/>
        <w:gridCol w:w="116"/>
        <w:gridCol w:w="116"/>
        <w:gridCol w:w="116"/>
        <w:gridCol w:w="116"/>
        <w:gridCol w:w="225"/>
        <w:gridCol w:w="1090"/>
        <w:gridCol w:w="175"/>
      </w:tblGrid>
      <w:tr>
        <w:trPr/>
        <w:tc>
          <w:tcPr>
            <w:tcW w:w="1283"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 September 30,</w:t>
            </w:r>
          </w:p>
        </w:tc>
      </w:tr>
      <w:tr>
        <w:trPr/>
        <w:tc>
          <w:tcPr>
            <w:tcW w:w="3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3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Certified loans</w:t>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23,880 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27,435 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78,040 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84,587 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Value of insured loans facilitated (in thousands)</w:t>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701,678 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772,469 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2,267,965 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2,379,621 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Average loan size per certified loan</w:t>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29,384 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28,156 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29,062 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28,132 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Number of contracts signed with automotive lenders</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w:t>
            </w:r>
          </w:p>
        </w:tc>
      </w:tr>
      <w:tr>
        <w:trPr/>
        <w:tc>
          <w:tcPr>
            <w:tcW w:w="34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Number of active lenders at end of period</w:t>
            </w:r>
            <w:r>
              <w:rPr>
                <w:rFonts w:ascii="Arial;sans-serif" w:hAnsi="Arial;sans-serif"/>
                <w:b w:val="false"/>
                <w:color w:val="000000"/>
                <w:sz w:val="13"/>
              </w:rPr>
              <w:t>(1)</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Active lenders is defined as lenders who certify at least one loan during the preceding 12 months. This number includes 10 and 33 new lenders during the three and nine months ended September 30, 2025 and 11 and 29 new lenders during the three and nine months ended September 30, 2024, respectively, using LPP to certify loans for the first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Key Performance Measures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review several key performance measures to evaluate business and results, measure performance, identify trends, formulate plans and make strategic decisions. We believe that the presentation of such metrics is useful to our investors and counterparties because such metrics are used to measure and model the performance of companies with recurring revenue streams.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sets forth key performance measures for the three and nine months ended September 30, 2025 and 2024:</w:t>
      </w:r>
    </w:p>
    <w:tbl>
      <w:tblPr>
        <w:tblW w:w="10081" w:type="dxa"/>
        <w:jc w:val="center"/>
        <w:tblInd w:w="0" w:type="dxa"/>
        <w:tblLayout w:type="fixed"/>
        <w:tblCellMar>
          <w:top w:w="28" w:type="dxa"/>
          <w:left w:w="28" w:type="dxa"/>
          <w:bottom w:w="28" w:type="dxa"/>
          <w:right w:w="28" w:type="dxa"/>
        </w:tblCellMar>
      </w:tblPr>
      <w:tblGrid>
        <w:gridCol w:w="737"/>
        <w:gridCol w:w="650"/>
        <w:gridCol w:w="652"/>
        <w:gridCol w:w="267"/>
        <w:gridCol w:w="609"/>
        <w:gridCol w:w="138"/>
        <w:gridCol w:w="138"/>
        <w:gridCol w:w="138"/>
        <w:gridCol w:w="138"/>
        <w:gridCol w:w="267"/>
        <w:gridCol w:w="609"/>
        <w:gridCol w:w="138"/>
        <w:gridCol w:w="138"/>
        <w:gridCol w:w="138"/>
        <w:gridCol w:w="138"/>
        <w:gridCol w:w="227"/>
        <w:gridCol w:w="227"/>
        <w:gridCol w:w="597"/>
        <w:gridCol w:w="109"/>
        <w:gridCol w:w="109"/>
        <w:gridCol w:w="109"/>
        <w:gridCol w:w="253"/>
        <w:gridCol w:w="578"/>
        <w:gridCol w:w="131"/>
        <w:gridCol w:w="131"/>
        <w:gridCol w:w="131"/>
        <w:gridCol w:w="131"/>
        <w:gridCol w:w="253"/>
        <w:gridCol w:w="578"/>
        <w:gridCol w:w="131"/>
        <w:gridCol w:w="131"/>
        <w:gridCol w:w="131"/>
        <w:gridCol w:w="131"/>
        <w:gridCol w:w="218"/>
        <w:gridCol w:w="218"/>
        <w:gridCol w:w="662"/>
      </w:tblGrid>
      <w:tr>
        <w:trPr/>
        <w:tc>
          <w:tcPr>
            <w:tcW w:w="73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 September 30,</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Certified loans</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23,880 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27,435 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5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78,040 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84,587 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w:t>
            </w:r>
          </w:p>
        </w:tc>
        <w:tc>
          <w:tcPr>
            <w:tcW w:w="6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Single-pay</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21,850 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24,793 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5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71,258 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76,300 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Monthly-pay</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2,030 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2,642 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5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6,782 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8,287 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6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Average program fees</w:t>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5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Single-pay</w:t>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5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6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Monthly-pay</w:t>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5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Certified Loans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refer to “certified loans” as the loans facilitated through LPP during a given period. Additionally, we refer to loans with a one-time upfront program fee payment as “single-pay” loans. For certain loans, the program fee is paid to us over 12 monthly installments and we refer to these loans as “monthly-pay”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84150"/>
                <wp:effectExtent l="0" t="0" r="0" b="0"/>
                <wp:wrapNone/>
                <wp:docPr id="23" name="Frame22"/>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60" w:after="283"/>
        <w:jc w:val="both"/>
        <w:rPr/>
      </w:pPr>
      <w:hyperlink w:anchor="i6a3ffadfac5b43cb82c32b479edcc3ef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Average Program Fee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define “average program fee” as the total program fee revenue recognized for a period divided by the number of certified loans in that period.</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Earned Premium</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earn a monthly claims administration service fee, which is calculated by our insurance partners as 3% of the monthly net insurance earned premium collected over the life of the underlying loan. We define “earned premium” as the total insurance premium earned by insurers in a given period. Earned premiums were $78.8 million and $241.4 million for the three and nine months ended September 30, 2025, respectively, and $83.7 million and $253.5 million for the three and nine months ended September 30,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Industry Trends and General Economic Conditions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results of operations have been and may continue to be impacted by the relative strength of the overall economy and its effect on unemployment, consumer spending, consumer demand for automotive financing and our lender customer’s liquidity. As general economic conditions improve or deteriorate, the amount of disposable income consumers have tends to fluctuate, which in turn impacts consumer spending levels and the willingness of consumers to enter into loans to finance purchases and consumers’ ability to afford financial obligations. Specific economic factors such as inflation, fluctuating interest rates, tariffs, uncertainty or changes in monetary and related policies, market volatility, a prolonged U.S. government shutdown, supply chain disruptions, consumer confidence and, particularly, the unemployment rate also influence consumer spending and borrowing patterns.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Components of Results of Operations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Total Revenues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revenue is generated through three streams: (i) program fees paid to us by automotive lenders, (ii) profit share paid to us by insurance partners, and (iii) claims administration service fees paid to us by insurance partners. Our revenue grows as we increase active automotive lenders using LPP as it influences the number of loans funded on LPP. Growth in our active automotive lender relationships will depend on our ability to retain existing automotive lenders and add new ones.</w:t>
      </w:r>
    </w:p>
    <w:p>
      <w:pPr>
        <w:pStyle w:val="TextBody"/>
        <w:bidi w:val="0"/>
        <w:spacing w:lineRule="auto" w:line="288" w:before="120" w:after="283"/>
        <w:jc w:val="both"/>
        <w:rPr/>
      </w:pPr>
      <w:r>
        <w:rPr>
          <w:rFonts w:ascii="Arial;sans-serif" w:hAnsi="Arial;sans-serif"/>
          <w:b w:val="false"/>
          <w:i/>
          <w:color w:val="000000"/>
          <w:sz w:val="20"/>
        </w:rPr>
        <w:t>Program Fees</w:t>
      </w:r>
      <w:r>
        <w:rPr>
          <w:rFonts w:ascii="Arial;sans-serif" w:hAnsi="Arial;sans-serif"/>
          <w:b w:val="false"/>
          <w:color w:val="000000"/>
          <w:sz w:val="20"/>
        </w:rPr>
        <w:t>. Program fees are paid by automotive lenders for the use of LPP, our cloud-based automotive lending enablement platform, which provides loan analytics solutions and automated issuance of credit default insurance with third-party insurance providers. These fees are based on a percentage of each certified loan’s original principal balance and recognized as revenue upfront upon certification of the loan by the lending institution. The fee percentage rate varies based on the agreement with each lender. For loans with a one-time upfront payment, there is a sliding scale of rates representing volume discounts for certain lenders. Fees are calculated as a percentage of the funded loan amount and may be subject to a cap. For monthly-pay loans, the fee paid by the lender is typically between 1% and 3% of the initial amount of the loan and is not capped.</w:t>
      </w:r>
    </w:p>
    <w:p>
      <w:pPr>
        <w:pStyle w:val="TextBody"/>
        <w:bidi w:val="0"/>
        <w:spacing w:lineRule="auto" w:line="288" w:before="120" w:after="283"/>
        <w:jc w:val="both"/>
        <w:rPr/>
      </w:pPr>
      <w:r>
        <w:rPr>
          <w:rFonts w:ascii="Arial;sans-serif" w:hAnsi="Arial;sans-serif"/>
          <w:b w:val="false"/>
          <w:i/>
          <w:color w:val="000000"/>
          <w:sz w:val="20"/>
        </w:rPr>
        <w:t>Profit Share.</w:t>
      </w:r>
      <w:r>
        <w:rPr>
          <w:color w:val="000000"/>
        </w:rPr>
        <w:t xml:space="preserve"> </w:t>
      </w:r>
      <w:r>
        <w:rPr>
          <w:rFonts w:ascii="Arial;sans-serif" w:hAnsi="Arial;sans-serif"/>
          <w:b w:val="false"/>
          <w:color w:val="000000"/>
          <w:sz w:val="20"/>
        </w:rPr>
        <w:t xml:space="preserve">Profit share represents our participation in the underwriting profit of third-party insurance partners who provide automotive lenders with credit default insurance on loans those lenders make using LPP. We receive a percentage of the aggregate monthly insurance underwriting profit over the term of the underlying insured loan. Monthly insurance underwriting profit is calculated as the monthly earned premium less expenses and losses, including reserves for incurred, but not reported losses. In periods where the expenses and losses on the loan portfolio exceed the monthly earned premiums, no profit share payments are received and future monthly insurance underwriting profits earned are reduced until the earned premiums for the aggregate loan portfolio exceed the accumulated losses at the insurance partner level. Thus, the profit share payments received from the insurance carriers are based on the monthly activity of the aggregated loan portfolio at the insurance partner level and can vary each period.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Upon placement of the insurance, we estimate the total variable consideration we expect to receive from the insurance company over the term of the underlying insured loan using a forecast model based on undiscounted expected future profit share to be received from our insurance partners. The forecast model projects loan-level earned premiums and insurance claim payments driven by projections of prepayment rate, loan default rate and severity of loss on its remaining active loan portfolio as of the reporting date. These assumptions are derived from an analysis of the historical portfolio performance, default and prepayment trends, and macroeconomic projections. Estimates of variable consideration generated by the forecast model are constrained to the extent that it is probable that a significant reversal of revenue will not occur in future periods. We recognize the estimated profit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84150"/>
                <wp:effectExtent l="0" t="0" r="0" b="0"/>
                <wp:wrapNone/>
                <wp:docPr id="24" name="Frame23"/>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60" w:after="283"/>
        <w:jc w:val="both"/>
        <w:rPr/>
      </w:pPr>
      <w:hyperlink w:anchor="i6a3ffadfac5b43cb82c32b479edcc3ef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revenue upon the placement of the insurance as all performance obligations are satisfied at that time and record a contract asset for the consideration we expect to receive over the term of the underlying insured loan.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On a quarterly basis, we update the assumptions used in the forecast model and recognize a change in estimate adjustment to our profit share revenue and contract assets and the related excess profit share receipts liability in the period, which could be material. We rely on assumptions to calculate the value of profit share revenue, which is our share of insurance partners’ underwriting profit. We continue to assess the assumptions used in our forecast model against reported performance and lender delinquency data and make updates to the forecast in an effort to help ensure that default, severity and prepayment rate projections align with actual experience. Positive change in estimates associated with historic vintages generate additional revenues and future expected cash flows, while negative change in estimates generate a reduction in revenues and future expected cash flows. </w:t>
      </w:r>
    </w:p>
    <w:p>
      <w:pPr>
        <w:pStyle w:val="TextBody"/>
        <w:bidi w:val="0"/>
        <w:spacing w:lineRule="auto" w:line="288" w:before="120" w:after="283"/>
        <w:jc w:val="both"/>
        <w:rPr/>
      </w:pPr>
      <w:r>
        <w:rPr>
          <w:rFonts w:ascii="Arial;sans-serif" w:hAnsi="Arial;sans-serif"/>
          <w:b w:val="false"/>
          <w:i/>
          <w:color w:val="000000"/>
          <w:sz w:val="20"/>
        </w:rPr>
        <w:t>Claims Administration Service Fees.</w:t>
      </w:r>
      <w:r>
        <w:rPr>
          <w:color w:val="000000"/>
        </w:rPr>
        <w:t xml:space="preserve"> </w:t>
      </w:r>
      <w:r>
        <w:rPr>
          <w:rFonts w:ascii="Arial;sans-serif" w:hAnsi="Arial;sans-serif"/>
          <w:b w:val="false"/>
          <w:color w:val="000000"/>
          <w:sz w:val="20"/>
        </w:rPr>
        <w:t>Claims administration service fees are paid to us by third-party insurance partners for credit default insurance claims adjudication services performed by our subsidiary, Insurance Administrative Services, LLC, on its insured servicing portfolio. The administration fee is equal to 3% of the monthly insurance earned premium for as long as the LPP certified loan remains outstanding.</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Cost of Services and Operating Expenses</w:t>
      </w:r>
    </w:p>
    <w:p>
      <w:pPr>
        <w:pStyle w:val="TextBody"/>
        <w:bidi w:val="0"/>
        <w:spacing w:lineRule="auto" w:line="288" w:before="120" w:after="283"/>
        <w:jc w:val="both"/>
        <w:rPr/>
      </w:pPr>
      <w:r>
        <w:rPr>
          <w:rFonts w:ascii="Arial;sans-serif" w:hAnsi="Arial;sans-serif"/>
          <w:b w:val="false"/>
          <w:i/>
          <w:color w:val="000000"/>
          <w:sz w:val="20"/>
        </w:rPr>
        <w:t xml:space="preserve">Cost of Services. </w:t>
      </w:r>
      <w:r>
        <w:rPr>
          <w:rFonts w:ascii="Arial;sans-serif" w:hAnsi="Arial;sans-serif"/>
          <w:b w:val="false"/>
          <w:color w:val="000000"/>
          <w:sz w:val="20"/>
        </w:rPr>
        <w:t>Cost of services primarily consists of fees paid to third-party partners for partner commissions, compensation and benefit expenses relating to employees engaged in automotive lender customer service, product support and claims administration activities, fees paid for actuarial services related to the development of the monthly premium program, fees for integration with the loan origination systems of automotive lenders, fees paid to credit bureaus and data service providers for credit applicant data and amortization of capitalized software development costs related to our cloud-based solutions. In the near term, we generally expect cost of services to remain constant as a percentage of our program fee revenue.</w:t>
      </w:r>
    </w:p>
    <w:p>
      <w:pPr>
        <w:pStyle w:val="TextBody"/>
        <w:bidi w:val="0"/>
        <w:spacing w:lineRule="auto" w:line="288" w:before="120" w:after="283"/>
        <w:jc w:val="both"/>
        <w:rPr/>
      </w:pPr>
      <w:r>
        <w:rPr>
          <w:rFonts w:ascii="Arial;sans-serif" w:hAnsi="Arial;sans-serif"/>
          <w:b w:val="false"/>
          <w:i/>
          <w:color w:val="000000"/>
          <w:sz w:val="20"/>
        </w:rPr>
        <w:t xml:space="preserve">General and Administrative Expenses. </w:t>
      </w:r>
      <w:r>
        <w:rPr>
          <w:rFonts w:ascii="Arial;sans-serif" w:hAnsi="Arial;sans-serif"/>
          <w:b w:val="false"/>
          <w:color w:val="000000"/>
          <w:sz w:val="20"/>
        </w:rPr>
        <w:t xml:space="preserve">General and administrative expenses are comprised primarily of employee compensation and benefits, including share-based compensation expense, for corporate level employees, data and software expenses and professional and consulting fees. In the near term, we expect general and administrative expenses to decrease primarily due to a reduction in one-time charges incurred during the current period. </w:t>
      </w:r>
    </w:p>
    <w:p>
      <w:pPr>
        <w:pStyle w:val="TextBody"/>
        <w:bidi w:val="0"/>
        <w:spacing w:lineRule="auto" w:line="288" w:before="120" w:after="283"/>
        <w:jc w:val="both"/>
        <w:rPr/>
      </w:pPr>
      <w:r>
        <w:rPr>
          <w:rFonts w:ascii="Arial;sans-serif" w:hAnsi="Arial;sans-serif"/>
          <w:b w:val="false"/>
          <w:i/>
          <w:color w:val="000000"/>
          <w:sz w:val="20"/>
        </w:rPr>
        <w:t xml:space="preserve">Selling and Marketing Expenses. </w:t>
      </w:r>
      <w:r>
        <w:rPr>
          <w:rFonts w:ascii="Arial;sans-serif" w:hAnsi="Arial;sans-serif"/>
          <w:b w:val="false"/>
          <w:color w:val="000000"/>
          <w:sz w:val="20"/>
        </w:rPr>
        <w:t>Selling and marketing expenses consist primarily of compensation and benefits, as well as travel, meals and entertainment expenses for employees engaged in selling and marketing activities and costs of our business development and marketing programs. In the near term, we generally expect selling and marketing expenses to decrease as we continue to focus on our cost saving initiatives.</w:t>
      </w:r>
    </w:p>
    <w:p>
      <w:pPr>
        <w:pStyle w:val="TextBody"/>
        <w:bidi w:val="0"/>
        <w:spacing w:lineRule="auto" w:line="288" w:before="120" w:after="283"/>
        <w:jc w:val="both"/>
        <w:rPr/>
      </w:pPr>
      <w:r>
        <w:rPr>
          <w:rFonts w:ascii="Arial;sans-serif" w:hAnsi="Arial;sans-serif"/>
          <w:b w:val="false"/>
          <w:i/>
          <w:color w:val="000000"/>
          <w:sz w:val="20"/>
        </w:rPr>
        <w:t xml:space="preserve">Research and Development Expenses. </w:t>
      </w:r>
      <w:r>
        <w:rPr>
          <w:rFonts w:ascii="Arial;sans-serif" w:hAnsi="Arial;sans-serif"/>
          <w:b w:val="false"/>
          <w:color w:val="000000"/>
          <w:sz w:val="20"/>
        </w:rPr>
        <w:t>Research and development expenses primarily consist of compensation and benefits for employees engaged in product development activities and data and software expenses. In addition, we capitalize certain research and development expenses related to the development of new functionality for our cloud-based solutions, which may cause our research and development expense to fluctuate from period to period. In the near term, we generally expect our research and development expenses to decrease as we continue to focus on our cost saving initiatives.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Other Income (Expense)</w:t>
      </w:r>
    </w:p>
    <w:p>
      <w:pPr>
        <w:pStyle w:val="TextBody"/>
        <w:bidi w:val="0"/>
        <w:spacing w:lineRule="auto" w:line="288" w:before="120" w:after="283"/>
        <w:jc w:val="both"/>
        <w:rPr/>
      </w:pPr>
      <w:r>
        <w:rPr>
          <w:rFonts w:ascii="Arial;sans-serif" w:hAnsi="Arial;sans-serif"/>
          <w:b w:val="false"/>
          <w:i/>
          <w:color w:val="000000"/>
          <w:sz w:val="20"/>
        </w:rPr>
        <w:t>Interest Expense</w:t>
      </w:r>
      <w:r>
        <w:rPr>
          <w:rFonts w:ascii="Arial;sans-serif" w:hAnsi="Arial;sans-serif"/>
          <w:b w:val="false"/>
          <w:color w:val="000000"/>
          <w:sz w:val="20"/>
        </w:rPr>
        <w:t>. Interest expense primarily includes interest payments and the amortization of deferred financing costs in connection with the issuance of our debt. Since the borrowings outstanding under our debt currently bear interest at variable rates, we expect our interest expense may continue to fluctuate as a result of changes in interest rates.</w:t>
      </w:r>
    </w:p>
    <w:p>
      <w:pPr>
        <w:pStyle w:val="TextBody"/>
        <w:bidi w:val="0"/>
        <w:spacing w:lineRule="auto" w:line="288" w:before="120" w:after="283"/>
        <w:jc w:val="both"/>
        <w:rPr/>
      </w:pPr>
      <w:r>
        <w:rPr>
          <w:rFonts w:ascii="Arial;sans-serif" w:hAnsi="Arial;sans-serif"/>
          <w:b w:val="false"/>
          <w:i/>
          <w:color w:val="000000"/>
          <w:sz w:val="20"/>
        </w:rPr>
        <w:t>Interest Income</w:t>
      </w:r>
      <w:r>
        <w:rPr>
          <w:rFonts w:ascii="Arial;sans-serif" w:hAnsi="Arial;sans-serif"/>
          <w:b w:val="false"/>
          <w:color w:val="000000"/>
          <w:sz w:val="20"/>
        </w:rPr>
        <w:t>. Interest income primarily includes interest earned on money market funds and U.S. Treasury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84150"/>
                <wp:effectExtent l="0" t="0" r="0" b="0"/>
                <wp:wrapNone/>
                <wp:docPr id="25" name="Frame24"/>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60" w:after="283"/>
        <w:jc w:val="both"/>
        <w:rPr/>
      </w:pPr>
      <w:hyperlink w:anchor="i6a3ffadfac5b43cb82c32b479edcc3e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Comparison of Three Months Ended September 30, 2025 and 2024</w:t>
      </w:r>
    </w:p>
    <w:p>
      <w:pPr>
        <w:pStyle w:val="TextBody"/>
        <w:bidi w:val="0"/>
        <w:spacing w:lineRule="auto" w:line="288" w:before="180" w:after="283"/>
        <w:jc w:val="left"/>
        <w:rPr/>
      </w:pPr>
      <w:r>
        <w:rPr>
          <w:rFonts w:ascii="Arial;sans-serif" w:hAnsi="Arial;sans-serif"/>
          <w:b/>
          <w:i/>
          <w:color w:val="000000"/>
          <w:sz w:val="20"/>
        </w:rPr>
        <w:t>Revenue</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476"/>
        <w:gridCol w:w="1252"/>
        <w:gridCol w:w="1260"/>
        <w:gridCol w:w="289"/>
        <w:gridCol w:w="1031"/>
        <w:gridCol w:w="149"/>
        <w:gridCol w:w="149"/>
        <w:gridCol w:w="149"/>
        <w:gridCol w:w="149"/>
        <w:gridCol w:w="289"/>
        <w:gridCol w:w="1031"/>
        <w:gridCol w:w="149"/>
        <w:gridCol w:w="109"/>
        <w:gridCol w:w="109"/>
        <w:gridCol w:w="109"/>
        <w:gridCol w:w="257"/>
        <w:gridCol w:w="586"/>
        <w:gridCol w:w="133"/>
        <w:gridCol w:w="109"/>
        <w:gridCol w:w="109"/>
        <w:gridCol w:w="109"/>
        <w:gridCol w:w="266"/>
        <w:gridCol w:w="267"/>
        <w:gridCol w:w="669"/>
      </w:tblGrid>
      <w:tr>
        <w:trPr/>
        <w:tc>
          <w:tcPr>
            <w:tcW w:w="1476"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r>
      <w:tr>
        <w:trPr/>
        <w:tc>
          <w:tcPr>
            <w:tcW w:w="3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3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8" w:type="dxa"/>
            <w:gridSpan w:val="15"/>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Program fees</w:t>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13,344</w:t>
            </w: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14,161</w:t>
            </w: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(817)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w:t>
            </w:r>
          </w:p>
        </w:tc>
        <w:tc>
          <w:tcPr>
            <w:tcW w:w="6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r>
      <w:tr>
        <w:trPr/>
        <w:tc>
          <w:tcPr>
            <w:tcW w:w="3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Profit share</w:t>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New certified loan originations</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7,407 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13,782 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(6,375)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w:t>
            </w:r>
          </w:p>
        </w:tc>
        <w:tc>
          <w:tcPr>
            <w:tcW w:w="6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estimated revenues</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(6,960)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8,023 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w:t>
            </w:r>
          </w:p>
        </w:tc>
        <w:tc>
          <w:tcPr>
            <w:tcW w:w="6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profit share</w:t>
            </w:r>
          </w:p>
        </w:tc>
        <w:tc>
          <w:tcPr>
            <w:tcW w:w="1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8,470</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6,822</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1,648</w:t>
            </w: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24</w:t>
            </w:r>
            <w:r>
              <w:rPr>
                <w:color w:val="000000"/>
              </w:rPr>
              <w:t> </w:t>
            </w:r>
          </w:p>
        </w:tc>
        <w:tc>
          <w:tcPr>
            <w:tcW w:w="6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r>
      <w:tr>
        <w:trPr/>
        <w:tc>
          <w:tcPr>
            <w:tcW w:w="3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Claims administration and other service fees</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2,355</w:t>
            </w: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2,493</w:t>
            </w: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(138)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w:t>
            </w:r>
          </w:p>
        </w:tc>
        <w:tc>
          <w:tcPr>
            <w:tcW w:w="6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r>
      <w:tr>
        <w:trPr/>
        <w:tc>
          <w:tcPr>
            <w:tcW w:w="3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revenue</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24,169</w:t>
            </w:r>
            <w:r>
              <w:rPr>
                <w:color w:val="000000"/>
              </w:rPr>
              <w:t>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23,476</w:t>
            </w:r>
            <w:r>
              <w:rPr>
                <w:color w:val="000000"/>
              </w:rPr>
              <w:t>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693</w:t>
            </w:r>
            <w:r>
              <w:rPr>
                <w:color w:val="000000"/>
              </w:rPr>
              <w:t>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w:t>
            </w:r>
            <w:r>
              <w:rPr>
                <w:color w:val="000000"/>
              </w:rPr>
              <w:t> </w:t>
            </w:r>
          </w:p>
        </w:tc>
        <w:tc>
          <w:tcPr>
            <w:tcW w:w="6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lineRule="auto" w:line="288" w:before="120" w:after="283"/>
        <w:jc w:val="both"/>
        <w:rPr/>
      </w:pPr>
      <w:r>
        <w:rPr>
          <w:rFonts w:ascii="Arial;sans-serif" w:hAnsi="Arial;sans-serif"/>
          <w:b w:val="false"/>
          <w:color w:val="000000"/>
          <w:sz w:val="20"/>
        </w:rPr>
        <w:t>Total revenue for the three months ended September 30, 2025</w:t>
      </w:r>
      <w:r>
        <w:rPr>
          <w:color w:val="000000"/>
          <w:shd w:fill="FFFFFF" w:val="clear"/>
        </w:rPr>
        <w:t xml:space="preserve"> </w:t>
      </w:r>
      <w:r>
        <w:rPr>
          <w:rFonts w:ascii="Arial;sans-serif" w:hAnsi="Arial;sans-serif"/>
          <w:b w:val="false"/>
          <w:color w:val="000000"/>
          <w:sz w:val="20"/>
        </w:rPr>
        <w:t>increase</w:t>
      </w:r>
      <w:r>
        <w:rPr>
          <w:rFonts w:ascii="Arial;sans-serif" w:hAnsi="Arial;sans-serif"/>
          <w:b w:val="false"/>
          <w:color w:val="000000"/>
          <w:sz w:val="20"/>
          <w:shd w:fill="FFFFFF" w:val="clear"/>
        </w:rPr>
        <w:t>d</w:t>
      </w:r>
      <w:r>
        <w:rPr>
          <w:color w:val="000000"/>
        </w:rPr>
        <w:t xml:space="preserve"> </w:t>
      </w:r>
      <w:r>
        <w:rPr>
          <w:rFonts w:ascii="Arial;sans-serif" w:hAnsi="Arial;sans-serif"/>
          <w:b w:val="false"/>
          <w:color w:val="000000"/>
          <w:sz w:val="20"/>
        </w:rPr>
        <w:t>by $0.7 million, or 3%, primarily driven by a $1.6 million increase in profit share revenue, partially offset by a $0.8 million decrease in program fee revenue as compared to the three months ended September 30, 2024.</w:t>
      </w:r>
    </w:p>
    <w:p>
      <w:pPr>
        <w:pStyle w:val="TextBody"/>
        <w:bidi w:val="0"/>
        <w:spacing w:lineRule="auto" w:line="288" w:before="120" w:after="283"/>
        <w:jc w:val="both"/>
        <w:rPr/>
      </w:pPr>
      <w:r>
        <w:rPr>
          <w:rFonts w:ascii="Arial;sans-serif" w:hAnsi="Arial;sans-serif"/>
          <w:b w:val="false"/>
          <w:i/>
          <w:color w:val="000000"/>
          <w:sz w:val="20"/>
        </w:rPr>
        <w:t xml:space="preserve">Program Fees. </w:t>
      </w:r>
      <w:r>
        <w:rPr>
          <w:rFonts w:ascii="Arial;sans-serif" w:hAnsi="Arial;sans-serif"/>
          <w:b w:val="false"/>
          <w:color w:val="000000"/>
          <w:sz w:val="20"/>
        </w:rPr>
        <w:t>Program fees revenue</w:t>
      </w:r>
      <w:r>
        <w:rPr>
          <w:color w:val="000000"/>
          <w:shd w:fill="FFFFFF" w:val="clear"/>
        </w:rPr>
        <w:t xml:space="preserve"> </w:t>
      </w:r>
      <w:r>
        <w:rPr>
          <w:rFonts w:ascii="Arial;sans-serif" w:hAnsi="Arial;sans-serif"/>
          <w:b w:val="false"/>
          <w:color w:val="000000"/>
          <w:sz w:val="20"/>
        </w:rPr>
        <w:t>decrease</w:t>
      </w:r>
      <w:r>
        <w:rPr>
          <w:rFonts w:ascii="Arial;sans-serif" w:hAnsi="Arial;sans-serif"/>
          <w:b w:val="false"/>
          <w:color w:val="000000"/>
          <w:sz w:val="20"/>
          <w:shd w:fill="FFFFFF" w:val="clear"/>
        </w:rPr>
        <w:t>d</w:t>
      </w:r>
      <w:r>
        <w:rPr>
          <w:color w:val="000000"/>
        </w:rPr>
        <w:t xml:space="preserve"> </w:t>
      </w:r>
      <w:r>
        <w:rPr>
          <w:rFonts w:ascii="Arial;sans-serif" w:hAnsi="Arial;sans-serif"/>
          <w:b w:val="false"/>
          <w:color w:val="000000"/>
          <w:sz w:val="20"/>
        </w:rPr>
        <w:t>by $0.8 million, or 6%, primarily driven by a 13% decrease in certified loan volume, partially offset by an 8% increase in unit economics per certified loan.</w:t>
      </w:r>
    </w:p>
    <w:p>
      <w:pPr>
        <w:pStyle w:val="TextBody"/>
        <w:bidi w:val="0"/>
        <w:spacing w:lineRule="auto" w:line="288" w:before="120" w:after="283"/>
        <w:jc w:val="both"/>
        <w:rPr/>
      </w:pPr>
      <w:r>
        <w:rPr>
          <w:rFonts w:ascii="Arial;sans-serif" w:hAnsi="Arial;sans-serif"/>
          <w:b w:val="false"/>
          <w:i/>
          <w:color w:val="000000"/>
          <w:sz w:val="20"/>
        </w:rPr>
        <w:t xml:space="preserve">Profit Share. </w:t>
      </w:r>
      <w:r>
        <w:rPr>
          <w:rFonts w:ascii="Arial;sans-serif" w:hAnsi="Arial;sans-serif"/>
          <w:b w:val="false"/>
          <w:color w:val="000000"/>
          <w:sz w:val="20"/>
        </w:rPr>
        <w:t xml:space="preserve">Profit share revenue increased by $1.6 million, or 24%, due to an $8.0 million, or 115%, increase in the change in estimate adjustment during the period, partially offset by a $6.4 million, or 46%, decrease in anticipated profit share revenue associated with new certified loan originations.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During the three months ended September 30, 2025, we recorded $7.4 million in anticipated profit share associated with 23,880 new certified loans for an average of $310 per loan, as compared to $13.8 million in anticipated profit share associated with 27,435 certified loans for an average of $502 per loan during the three months ended September 30, 2024. The decrease in the average revenue per loan was due to a decrease in expected future profit share consideration to be received from our insurance partners on the loans certified based on current estimates of loan default rates, prepayment rates and severity of losses and an increased constraint applied to the estimated variable consideration recognized during the period in an effort to avoid future significant reversals of profit share revenue.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addition, during the three months ended September 30, 2025, we recorded an increase in estimated profit share revenue of $1.1 million for changes in estimates of variable consideration related to performance obligations satisfied in previous periods, or historic vintages, primarily as a result of forecast assumption changes due to lower than anticipated loan default rates. During the three months ended September 30, 2024, we recorded a decrease of $7.0 million in profit share revenue for changes in estimates of variable consideration of historic vintages primarily due to higher than anticipated loan defaults, partially offset by lower than anticipated severity of losses.</w:t>
      </w:r>
    </w:p>
    <w:p>
      <w:pPr>
        <w:pStyle w:val="TextBody"/>
        <w:bidi w:val="0"/>
        <w:spacing w:lineRule="auto" w:line="288" w:before="120" w:after="283"/>
        <w:jc w:val="both"/>
        <w:rPr/>
      </w:pPr>
      <w:r>
        <w:rPr>
          <w:rFonts w:ascii="Arial;sans-serif" w:hAnsi="Arial;sans-serif"/>
          <w:b w:val="false"/>
          <w:i/>
          <w:color w:val="000000"/>
          <w:sz w:val="20"/>
        </w:rPr>
        <w:t>Claims Administration and Other Service Fees.</w:t>
      </w:r>
      <w:r>
        <w:rPr>
          <w:color w:val="000000"/>
        </w:rPr>
        <w:t xml:space="preserve"> </w:t>
      </w:r>
      <w:r>
        <w:rPr>
          <w:rFonts w:ascii="Arial;sans-serif" w:hAnsi="Arial;sans-serif"/>
          <w:b w:val="false"/>
          <w:color w:val="000000"/>
          <w:sz w:val="20"/>
          <w:shd w:fill="FFFFFF" w:val="clear"/>
        </w:rPr>
        <w:t xml:space="preserve">Revenue from claims administration and other service fees, which primarily represents 3% of our insurance partners’ earned premium, </w:t>
      </w:r>
      <w:r>
        <w:rPr>
          <w:rFonts w:ascii="Arial;sans-serif" w:hAnsi="Arial;sans-serif"/>
          <w:b w:val="false"/>
          <w:color w:val="000000"/>
          <w:sz w:val="20"/>
        </w:rPr>
        <w:t>decrease</w:t>
      </w:r>
      <w:r>
        <w:rPr>
          <w:rFonts w:ascii="Arial;sans-serif" w:hAnsi="Arial;sans-serif"/>
          <w:b w:val="false"/>
          <w:color w:val="000000"/>
          <w:sz w:val="20"/>
          <w:shd w:fill="FFFFFF" w:val="clear"/>
        </w:rPr>
        <w:t xml:space="preserve">d by </w:t>
      </w:r>
      <w:r>
        <w:rPr>
          <w:rFonts w:ascii="Arial;sans-serif" w:hAnsi="Arial;sans-serif"/>
          <w:b w:val="false"/>
          <w:color w:val="000000"/>
          <w:sz w:val="20"/>
        </w:rPr>
        <w:t>$0.1 million,</w:t>
      </w:r>
      <w:r>
        <w:rPr>
          <w:color w:val="000000"/>
          <w:shd w:fill="FFFFFF" w:val="clear"/>
        </w:rPr>
        <w:t xml:space="preserve"> </w:t>
      </w:r>
      <w:r>
        <w:rPr>
          <w:rFonts w:ascii="Arial;sans-serif" w:hAnsi="Arial;sans-serif"/>
          <w:b w:val="false"/>
          <w:color w:val="000000"/>
          <w:sz w:val="20"/>
          <w:shd w:fill="FFFFFF" w:val="clear"/>
        </w:rPr>
        <w:t xml:space="preserve">or </w:t>
      </w:r>
      <w:r>
        <w:rPr>
          <w:rFonts w:ascii="Arial;sans-serif" w:hAnsi="Arial;sans-serif"/>
          <w:b w:val="false"/>
          <w:color w:val="000000"/>
          <w:sz w:val="20"/>
        </w:rPr>
        <w:t>6%</w:t>
      </w:r>
      <w:r>
        <w:rPr>
          <w:rFonts w:ascii="Arial;sans-serif" w:hAnsi="Arial;sans-serif"/>
          <w:b w:val="false"/>
          <w:color w:val="000000"/>
          <w:sz w:val="20"/>
          <w:shd w:fill="FFFFFF" w:val="clear"/>
        </w:rPr>
        <w:t>, due to</w:t>
      </w:r>
      <w:r>
        <w:rPr>
          <w:color w:val="000000"/>
        </w:rPr>
        <w:t xml:space="preserve"> </w:t>
      </w:r>
      <w:r>
        <w:rPr>
          <w:rFonts w:ascii="Arial;sans-serif" w:hAnsi="Arial;sans-serif"/>
          <w:b w:val="false"/>
          <w:color w:val="000000"/>
          <w:sz w:val="20"/>
        </w:rPr>
        <w:t>a decrease in total</w:t>
      </w:r>
      <w:r>
        <w:rPr>
          <w:color w:val="000000"/>
          <w:shd w:fill="FFFFFF" w:val="clear"/>
        </w:rPr>
        <w:t xml:space="preserve"> </w:t>
      </w:r>
      <w:r>
        <w:rPr>
          <w:rFonts w:ascii="Arial;sans-serif" w:hAnsi="Arial;sans-serif"/>
          <w:b w:val="false"/>
          <w:color w:val="000000"/>
          <w:sz w:val="20"/>
          <w:shd w:fill="FFFFFF" w:val="clear"/>
        </w:rPr>
        <w:t>earned premiums.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Cost of Services, Gross Profit and Gross Margin</w:t>
      </w:r>
    </w:p>
    <w:tbl>
      <w:tblPr>
        <w:tblW w:w="7763" w:type="dxa"/>
        <w:jc w:val="center"/>
        <w:tblInd w:w="0" w:type="dxa"/>
        <w:tblLayout w:type="fixed"/>
        <w:tblCellMar>
          <w:top w:w="28" w:type="dxa"/>
          <w:left w:w="28" w:type="dxa"/>
          <w:bottom w:w="28" w:type="dxa"/>
          <w:right w:w="28" w:type="dxa"/>
        </w:tblCellMar>
      </w:tblPr>
      <w:tblGrid>
        <w:gridCol w:w="560"/>
        <w:gridCol w:w="490"/>
        <w:gridCol w:w="495"/>
        <w:gridCol w:w="261"/>
        <w:gridCol w:w="930"/>
        <w:gridCol w:w="354"/>
        <w:gridCol w:w="134"/>
        <w:gridCol w:w="134"/>
        <w:gridCol w:w="134"/>
        <w:gridCol w:w="261"/>
        <w:gridCol w:w="930"/>
        <w:gridCol w:w="354"/>
        <w:gridCol w:w="109"/>
        <w:gridCol w:w="109"/>
        <w:gridCol w:w="109"/>
        <w:gridCol w:w="213"/>
        <w:gridCol w:w="652"/>
        <w:gridCol w:w="111"/>
        <w:gridCol w:w="109"/>
        <w:gridCol w:w="109"/>
        <w:gridCol w:w="109"/>
        <w:gridCol w:w="321"/>
        <w:gridCol w:w="321"/>
        <w:gridCol w:w="454"/>
      </w:tblGrid>
      <w:tr>
        <w:trPr/>
        <w:tc>
          <w:tcPr>
            <w:tcW w:w="56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5" w:type="dxa"/>
            <w:gridSpan w:val="15"/>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revenue</w:t>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24,169</w:t>
            </w:r>
            <w:r>
              <w:rPr>
                <w:color w:val="000000"/>
              </w:rPr>
              <w:t>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23,476</w:t>
            </w:r>
            <w:r>
              <w:rPr>
                <w:color w:val="000000"/>
              </w:rPr>
              <w:t>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693</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w:t>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services</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5,318 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6,127 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Gross profit</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18,851</w:t>
            </w:r>
            <w:r>
              <w:rPr>
                <w:color w:val="000000"/>
              </w:rPr>
              <w:t>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17,349</w:t>
            </w:r>
            <w:r>
              <w:rPr>
                <w:color w:val="000000"/>
              </w:rPr>
              <w:t>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1,502</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w:t>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Gross margin</w:t>
            </w:r>
          </w:p>
        </w:tc>
        <w:tc>
          <w:tcPr>
            <w:tcW w:w="119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78</w:t>
            </w:r>
          </w:p>
        </w:tc>
        <w:tc>
          <w:tcPr>
            <w:tcW w:w="3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74</w:t>
            </w:r>
          </w:p>
        </w:tc>
        <w:tc>
          <w:tcPr>
            <w:tcW w:w="3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84150"/>
                <wp:effectExtent l="0" t="0" r="0" b="0"/>
                <wp:wrapNone/>
                <wp:docPr id="26" name="Frame25"/>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60" w:after="283"/>
        <w:jc w:val="both"/>
        <w:rPr/>
      </w:pPr>
      <w:hyperlink w:anchor="i6a3ffadfac5b43cb82c32b479edcc3ef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pPr>
      <w:r>
        <w:rPr>
          <w:rFonts w:ascii="Arial;sans-serif" w:hAnsi="Arial;sans-serif"/>
          <w:b w:val="false"/>
          <w:i/>
          <w:color w:val="000000"/>
          <w:sz w:val="20"/>
        </w:rPr>
        <w:t>Cost of Services.</w:t>
      </w:r>
      <w:r>
        <w:rPr>
          <w:color w:val="000000"/>
        </w:rPr>
        <w:t xml:space="preserve"> </w:t>
      </w:r>
      <w:r>
        <w:rPr>
          <w:rFonts w:ascii="Arial;sans-serif" w:hAnsi="Arial;sans-serif"/>
          <w:b w:val="false"/>
          <w:color w:val="000000"/>
          <w:sz w:val="20"/>
        </w:rPr>
        <w:t>Cost of services decreased $0.8 million, or 13%, primarily due to a decrease in employee compensation and benefit costs of $0.9 million.</w:t>
      </w:r>
    </w:p>
    <w:p>
      <w:pPr>
        <w:pStyle w:val="TextBody"/>
        <w:bidi w:val="0"/>
        <w:spacing w:lineRule="auto" w:line="288" w:before="120" w:after="283"/>
        <w:jc w:val="both"/>
        <w:rPr/>
      </w:pPr>
      <w:r>
        <w:rPr>
          <w:rFonts w:ascii="Arial;sans-serif" w:hAnsi="Arial;sans-serif"/>
          <w:b w:val="false"/>
          <w:i/>
          <w:color w:val="000000"/>
          <w:sz w:val="20"/>
        </w:rPr>
        <w:t>Gross Profit.</w:t>
      </w:r>
      <w:r>
        <w:rPr>
          <w:color w:val="000000"/>
        </w:rPr>
        <w:t xml:space="preserve"> </w:t>
      </w:r>
      <w:r>
        <w:rPr>
          <w:rFonts w:ascii="Arial;sans-serif" w:hAnsi="Arial;sans-serif"/>
          <w:b w:val="false"/>
          <w:color w:val="000000"/>
          <w:sz w:val="20"/>
        </w:rPr>
        <w:t>Gross profit increase</w:t>
      </w:r>
      <w:r>
        <w:rPr>
          <w:rFonts w:ascii="Arial;sans-serif" w:hAnsi="Arial;sans-serif"/>
          <w:b w:val="false"/>
          <w:color w:val="000000"/>
          <w:sz w:val="20"/>
          <w:shd w:fill="FFFFFF" w:val="clear"/>
        </w:rPr>
        <w:t xml:space="preserve">d </w:t>
      </w:r>
      <w:r>
        <w:rPr>
          <w:rFonts w:ascii="Arial;sans-serif" w:hAnsi="Arial;sans-serif"/>
          <w:b w:val="false"/>
          <w:color w:val="000000"/>
          <w:sz w:val="20"/>
        </w:rPr>
        <w:t>by $1.5 million, or 9%, primarily driven by an increase in profit share revenue and a decrease in cost of services as discussed above.</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Operating Expenses, Operating Income and Operating Margin</w:t>
      </w:r>
    </w:p>
    <w:tbl>
      <w:tblPr>
        <w:tblW w:w="8801" w:type="dxa"/>
        <w:jc w:val="center"/>
        <w:tblInd w:w="0" w:type="dxa"/>
        <w:tblLayout w:type="fixed"/>
        <w:tblCellMar>
          <w:top w:w="28" w:type="dxa"/>
          <w:left w:w="28" w:type="dxa"/>
          <w:bottom w:w="28" w:type="dxa"/>
          <w:right w:w="28" w:type="dxa"/>
        </w:tblCellMar>
      </w:tblPr>
      <w:tblGrid>
        <w:gridCol w:w="901"/>
        <w:gridCol w:w="793"/>
        <w:gridCol w:w="795"/>
        <w:gridCol w:w="479"/>
        <w:gridCol w:w="247"/>
        <w:gridCol w:w="649"/>
        <w:gridCol w:w="247"/>
        <w:gridCol w:w="247"/>
        <w:gridCol w:w="247"/>
        <w:gridCol w:w="479"/>
        <w:gridCol w:w="247"/>
        <w:gridCol w:w="649"/>
        <w:gridCol w:w="109"/>
        <w:gridCol w:w="109"/>
        <w:gridCol w:w="109"/>
        <w:gridCol w:w="211"/>
        <w:gridCol w:w="751"/>
        <w:gridCol w:w="109"/>
        <w:gridCol w:w="109"/>
        <w:gridCol w:w="109"/>
        <w:gridCol w:w="109"/>
        <w:gridCol w:w="321"/>
        <w:gridCol w:w="321"/>
        <w:gridCol w:w="4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15"/>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expenses</w:t>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4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21,062</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3,440</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2,050</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operating expenses</w:t>
            </w:r>
          </w:p>
        </w:tc>
        <w:tc>
          <w:tcPr>
            <w:tcW w:w="1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26,552</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15,483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11,069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71%</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income (loss)</w:t>
            </w:r>
          </w:p>
        </w:tc>
        <w:tc>
          <w:tcPr>
            <w:tcW w:w="4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(7,701)</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1,866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(9,567)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(513)%</w:t>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margin</w:t>
            </w:r>
          </w:p>
        </w:tc>
        <w:tc>
          <w:tcPr>
            <w:tcW w:w="7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(32)</w:t>
            </w:r>
          </w:p>
        </w:tc>
        <w:tc>
          <w:tcPr>
            <w:tcW w:w="6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w:t>
            </w:r>
            <w:r>
              <w:rPr>
                <w:color w:val="000000"/>
              </w:rPr>
              <w:t> </w:t>
            </w:r>
          </w:p>
        </w:tc>
        <w:tc>
          <w:tcPr>
            <w:tcW w:w="6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(40)%</w:t>
            </w:r>
          </w:p>
        </w:tc>
      </w:tr>
    </w:tbl>
    <w:p>
      <w:pPr>
        <w:pStyle w:val="TextBody"/>
        <w:bidi w:val="0"/>
        <w:spacing w:lineRule="auto" w:line="288" w:before="240" w:after="283"/>
        <w:jc w:val="both"/>
        <w:rPr/>
      </w:pPr>
      <w:r>
        <w:rPr>
          <w:rFonts w:ascii="Arial;sans-serif" w:hAnsi="Arial;sans-serif"/>
          <w:b w:val="false"/>
          <w:i/>
          <w:color w:val="000000"/>
          <w:sz w:val="20"/>
        </w:rPr>
        <w:t>General and Administrative.</w:t>
      </w:r>
      <w:r>
        <w:rPr>
          <w:color w:val="000000"/>
        </w:rPr>
        <w:t xml:space="preserve"> </w:t>
      </w:r>
      <w:r>
        <w:rPr>
          <w:rFonts w:ascii="Arial;sans-serif" w:hAnsi="Arial;sans-serif"/>
          <w:b w:val="false"/>
          <w:color w:val="000000"/>
          <w:sz w:val="20"/>
        </w:rPr>
        <w:t>General and administrative expenses increased by $11.5 million, or 120%, primarily driven by a one-time payment of $11.0 million made in connection with the Allied Amendment and a $0.5 million increase in employee compensation and benefit costs.</w:t>
      </w:r>
    </w:p>
    <w:p>
      <w:pPr>
        <w:pStyle w:val="TextBody"/>
        <w:bidi w:val="0"/>
        <w:spacing w:lineRule="auto" w:line="288" w:before="120" w:after="283"/>
        <w:jc w:val="both"/>
        <w:rPr/>
      </w:pPr>
      <w:r>
        <w:rPr>
          <w:rFonts w:ascii="Arial;sans-serif" w:hAnsi="Arial;sans-serif"/>
          <w:b w:val="false"/>
          <w:i/>
          <w:color w:val="000000"/>
          <w:sz w:val="20"/>
        </w:rPr>
        <w:t>Selling and Marketing.</w:t>
      </w:r>
      <w:r>
        <w:rPr>
          <w:color w:val="000000"/>
        </w:rPr>
        <w:t xml:space="preserve"> </w:t>
      </w:r>
      <w:r>
        <w:rPr>
          <w:rFonts w:ascii="Arial;sans-serif" w:hAnsi="Arial;sans-serif"/>
          <w:b w:val="false"/>
          <w:color w:val="000000"/>
          <w:sz w:val="20"/>
        </w:rPr>
        <w:t>Selling and marketing expenses decreased $1.5 million, or 30%, primarily due to decreases in employee compensation and benefit costs of $0.9 million, business development and marketing expenses of $0.4 million and travel, meals and entertainment expenses of $0.2 million.</w:t>
      </w:r>
    </w:p>
    <w:p>
      <w:pPr>
        <w:pStyle w:val="TextBody"/>
        <w:bidi w:val="0"/>
        <w:spacing w:lineRule="auto" w:line="288" w:before="120" w:after="283"/>
        <w:jc w:val="both"/>
        <w:rPr/>
      </w:pPr>
      <w:r>
        <w:rPr>
          <w:rFonts w:ascii="Arial;sans-serif" w:hAnsi="Arial;sans-serif"/>
          <w:b w:val="false"/>
          <w:i/>
          <w:color w:val="000000"/>
          <w:sz w:val="20"/>
        </w:rPr>
        <w:t>Research and Development.</w:t>
      </w:r>
      <w:r>
        <w:rPr>
          <w:color w:val="000000"/>
        </w:rPr>
        <w:t xml:space="preserve"> </w:t>
      </w:r>
      <w:r>
        <w:rPr>
          <w:rFonts w:ascii="Arial;sans-serif" w:hAnsi="Arial;sans-serif"/>
          <w:b w:val="false"/>
          <w:color w:val="000000"/>
          <w:sz w:val="20"/>
          <w:shd w:fill="FFFFFF" w:val="clear"/>
        </w:rPr>
        <w:t xml:space="preserve">Research and development expenses </w:t>
      </w:r>
      <w:r>
        <w:rPr>
          <w:rFonts w:ascii="Arial;sans-serif" w:hAnsi="Arial;sans-serif"/>
          <w:b w:val="false"/>
          <w:color w:val="000000"/>
          <w:sz w:val="20"/>
        </w:rPr>
        <w:t>increase</w:t>
      </w:r>
      <w:r>
        <w:rPr>
          <w:rFonts w:ascii="Arial;sans-serif" w:hAnsi="Arial;sans-serif"/>
          <w:b w:val="false"/>
          <w:color w:val="000000"/>
          <w:sz w:val="20"/>
          <w:shd w:fill="FFFFFF" w:val="clear"/>
        </w:rPr>
        <w:t xml:space="preserve">d by </w:t>
      </w:r>
      <w:r>
        <w:rPr>
          <w:rFonts w:ascii="Arial;sans-serif" w:hAnsi="Arial;sans-serif"/>
          <w:b w:val="false"/>
          <w:color w:val="000000"/>
          <w:sz w:val="20"/>
        </w:rPr>
        <w:t>$1.1 million</w:t>
      </w:r>
      <w:r>
        <w:rPr>
          <w:rFonts w:ascii="Arial;sans-serif" w:hAnsi="Arial;sans-serif"/>
          <w:b w:val="false"/>
          <w:color w:val="000000"/>
          <w:sz w:val="20"/>
          <w:shd w:fill="FFFFFF" w:val="clear"/>
        </w:rPr>
        <w:t xml:space="preserve">, or </w:t>
      </w:r>
      <w:r>
        <w:rPr>
          <w:rFonts w:ascii="Arial;sans-serif" w:hAnsi="Arial;sans-serif"/>
          <w:b w:val="false"/>
          <w:color w:val="000000"/>
          <w:sz w:val="20"/>
        </w:rPr>
        <w:t>107%,</w:t>
      </w:r>
      <w:r>
        <w:rPr>
          <w:color w:val="000000"/>
          <w:shd w:fill="FFFFFF" w:val="clear"/>
        </w:rPr>
        <w:t xml:space="preserve"> </w:t>
      </w:r>
      <w:r>
        <w:rPr>
          <w:rFonts w:ascii="Arial;sans-serif" w:hAnsi="Arial;sans-serif"/>
          <w:b w:val="false"/>
          <w:color w:val="000000"/>
          <w:sz w:val="20"/>
          <w:shd w:fill="FFFFFF" w:val="clear"/>
        </w:rPr>
        <w:t>due to</w:t>
      </w:r>
      <w:r>
        <w:rPr>
          <w:color w:val="000000"/>
        </w:rPr>
        <w:t xml:space="preserve"> </w:t>
      </w:r>
      <w:r>
        <w:rPr>
          <w:rFonts w:ascii="Arial;sans-serif" w:hAnsi="Arial;sans-serif"/>
          <w:b w:val="false"/>
          <w:color w:val="000000"/>
          <w:sz w:val="20"/>
        </w:rPr>
        <w:t>an increase in employee compensation and benefit costs of $1.0 million.</w:t>
      </w:r>
    </w:p>
    <w:p>
      <w:pPr>
        <w:pStyle w:val="TextBody"/>
        <w:bidi w:val="0"/>
        <w:spacing w:lineRule="auto" w:line="288" w:before="120" w:after="283"/>
        <w:jc w:val="both"/>
        <w:rPr/>
      </w:pPr>
      <w:r>
        <w:rPr>
          <w:rFonts w:ascii="Arial;sans-serif" w:hAnsi="Arial;sans-serif"/>
          <w:b w:val="false"/>
          <w:i/>
          <w:color w:val="000000"/>
          <w:sz w:val="20"/>
        </w:rPr>
        <w:t>Operating Income (Loss).</w:t>
      </w:r>
      <w:r>
        <w:rPr>
          <w:color w:val="000000"/>
        </w:rPr>
        <w:t xml:space="preserve"> </w:t>
      </w:r>
      <w:r>
        <w:rPr>
          <w:rFonts w:ascii="Arial;sans-serif" w:hAnsi="Arial;sans-serif"/>
          <w:b w:val="false"/>
          <w:color w:val="000000"/>
          <w:sz w:val="20"/>
        </w:rPr>
        <w:t xml:space="preserve">Operating income decreased by $9.6 million, or 513%, </w:t>
      </w:r>
      <w:r>
        <w:rPr>
          <w:rFonts w:ascii="Arial;sans-serif" w:hAnsi="Arial;sans-serif"/>
          <w:b w:val="false"/>
          <w:color w:val="000000"/>
          <w:sz w:val="20"/>
          <w:shd w:fill="FFFFFF" w:val="clear"/>
        </w:rPr>
        <w:t>primarily driven by an increase in operating expenses, partially offset by an increase in gross profit as discussed above.</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Interest Expense, Interest Income and Other Income (Expense)</w:t>
      </w:r>
    </w:p>
    <w:tbl>
      <w:tblPr>
        <w:tblW w:w="9376" w:type="dxa"/>
        <w:jc w:val="left"/>
        <w:tblInd w:w="0" w:type="dxa"/>
        <w:tblLayout w:type="fixed"/>
        <w:tblCellMar>
          <w:top w:w="28" w:type="dxa"/>
          <w:left w:w="28" w:type="dxa"/>
          <w:bottom w:w="28" w:type="dxa"/>
          <w:right w:w="28" w:type="dxa"/>
        </w:tblCellMar>
      </w:tblPr>
      <w:tblGrid>
        <w:gridCol w:w="940"/>
        <w:gridCol w:w="824"/>
        <w:gridCol w:w="831"/>
        <w:gridCol w:w="622"/>
        <w:gridCol w:w="353"/>
        <w:gridCol w:w="353"/>
        <w:gridCol w:w="321"/>
        <w:gridCol w:w="321"/>
        <w:gridCol w:w="321"/>
        <w:gridCol w:w="622"/>
        <w:gridCol w:w="353"/>
        <w:gridCol w:w="353"/>
        <w:gridCol w:w="109"/>
        <w:gridCol w:w="109"/>
        <w:gridCol w:w="109"/>
        <w:gridCol w:w="480"/>
        <w:gridCol w:w="247"/>
        <w:gridCol w:w="249"/>
        <w:gridCol w:w="109"/>
        <w:gridCol w:w="109"/>
        <w:gridCol w:w="109"/>
        <w:gridCol w:w="350"/>
        <w:gridCol w:w="350"/>
        <w:gridCol w:w="351"/>
        <w:gridCol w:w="109"/>
        <w:gridCol w:w="109"/>
        <w:gridCol w:w="109"/>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(2,432)</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2,363</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Arial;sans-serif" w:hAnsi="Arial;sans-serif"/>
          <w:b w:val="false"/>
          <w:i/>
          <w:color w:val="000000"/>
          <w:sz w:val="20"/>
          <w:shd w:fill="FFFFFF" w:val="clear"/>
        </w:rPr>
        <w:t xml:space="preserve">Interest Expense. </w:t>
      </w:r>
      <w:r>
        <w:rPr>
          <w:rFonts w:ascii="Arial;sans-serif" w:hAnsi="Arial;sans-serif"/>
          <w:b w:val="false"/>
          <w:color w:val="000000"/>
          <w:sz w:val="20"/>
          <w:shd w:fill="FFFFFF" w:val="clear"/>
        </w:rPr>
        <w:t xml:space="preserve">Interest expense </w:t>
      </w:r>
      <w:r>
        <w:rPr>
          <w:rFonts w:ascii="Arial;sans-serif" w:hAnsi="Arial;sans-serif"/>
          <w:b w:val="false"/>
          <w:color w:val="000000"/>
          <w:sz w:val="20"/>
        </w:rPr>
        <w:t>decrease</w:t>
      </w:r>
      <w:r>
        <w:rPr>
          <w:rFonts w:ascii="Arial;sans-serif" w:hAnsi="Arial;sans-serif"/>
          <w:b w:val="false"/>
          <w:color w:val="000000"/>
          <w:sz w:val="20"/>
          <w:shd w:fill="FFFFFF" w:val="clear"/>
        </w:rPr>
        <w:t xml:space="preserve">d </w:t>
      </w:r>
      <w:r>
        <w:rPr>
          <w:rFonts w:ascii="Arial;sans-serif" w:hAnsi="Arial;sans-serif"/>
          <w:b w:val="false"/>
          <w:color w:val="000000"/>
          <w:sz w:val="20"/>
        </w:rPr>
        <w:t>$0.5 million,</w:t>
      </w:r>
      <w:r>
        <w:rPr>
          <w:color w:val="000000"/>
          <w:shd w:fill="FFFFFF" w:val="clear"/>
        </w:rPr>
        <w:t xml:space="preserve"> </w:t>
      </w:r>
      <w:r>
        <w:rPr>
          <w:rFonts w:ascii="Arial;sans-serif" w:hAnsi="Arial;sans-serif"/>
          <w:b w:val="false"/>
          <w:color w:val="000000"/>
          <w:sz w:val="20"/>
          <w:shd w:fill="FFFFFF" w:val="clear"/>
        </w:rPr>
        <w:t xml:space="preserve">or </w:t>
      </w:r>
      <w:r>
        <w:rPr>
          <w:rFonts w:ascii="Arial;sans-serif" w:hAnsi="Arial;sans-serif"/>
          <w:b w:val="false"/>
          <w:color w:val="000000"/>
          <w:sz w:val="20"/>
        </w:rPr>
        <w:t>18%</w:t>
      </w:r>
      <w:r>
        <w:rPr>
          <w:rFonts w:ascii="Arial;sans-serif" w:hAnsi="Arial;sans-serif"/>
          <w:b w:val="false"/>
          <w:color w:val="000000"/>
          <w:sz w:val="20"/>
          <w:shd w:fill="FFFFFF" w:val="clear"/>
        </w:rPr>
        <w:t>, as a result of lower borrowing costs primarily due to a decrease in interest rates and a reduction in our principal balance during the period</w:t>
      </w:r>
      <w:r>
        <w:rPr>
          <w:rFonts w:ascii="Arial;sans-serif" w:hAnsi="Arial;sans-serif"/>
          <w:b w:val="false"/>
          <w:color w:val="000000"/>
          <w:sz w:val="20"/>
        </w:rPr>
        <w:t xml:space="preserve">. </w:t>
      </w:r>
    </w:p>
    <w:p>
      <w:pPr>
        <w:pStyle w:val="TextBody"/>
        <w:bidi w:val="0"/>
        <w:spacing w:lineRule="auto" w:line="288" w:before="120" w:after="283"/>
        <w:jc w:val="both"/>
        <w:rPr/>
      </w:pPr>
      <w:r>
        <w:rPr>
          <w:rFonts w:ascii="Arial;sans-serif" w:hAnsi="Arial;sans-serif"/>
          <w:b w:val="false"/>
          <w:i/>
          <w:color w:val="000000"/>
          <w:sz w:val="20"/>
          <w:shd w:fill="FFFFFF" w:val="clear"/>
        </w:rPr>
        <w:t xml:space="preserve">Interest Income. </w:t>
      </w:r>
      <w:r>
        <w:rPr>
          <w:rFonts w:ascii="Arial;sans-serif" w:hAnsi="Arial;sans-serif"/>
          <w:b w:val="false"/>
          <w:color w:val="000000"/>
          <w:sz w:val="20"/>
        </w:rPr>
        <w:t>Interest income decreased $0.9 million, or 27%, primarily due to a decrease in interest earned on our cash equivalents.</w:t>
      </w:r>
    </w:p>
    <w:p>
      <w:pPr>
        <w:pStyle w:val="TextBody"/>
        <w:bidi w:val="0"/>
        <w:spacing w:lineRule="auto" w:line="288" w:before="120" w:after="283"/>
        <w:jc w:val="both"/>
        <w:rPr/>
      </w:pPr>
      <w:r>
        <w:rPr>
          <w:rFonts w:ascii="Arial;sans-serif" w:hAnsi="Arial;sans-serif"/>
          <w:b w:val="false"/>
          <w:i/>
          <w:color w:val="000000"/>
          <w:sz w:val="20"/>
        </w:rPr>
        <w:t>Other Income (Expense)</w:t>
      </w:r>
      <w:r>
        <w:rPr>
          <w:rFonts w:ascii="Arial;sans-serif" w:hAnsi="Arial;sans-serif"/>
          <w:b w:val="false"/>
          <w:color w:val="000000"/>
          <w:sz w:val="20"/>
        </w:rPr>
        <w:t>. Other income (expense), net increased $0.2 million, related to interest income received in connection with a state tax refund during the three months ended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84150"/>
                <wp:effectExtent l="0" t="0" r="0" b="0"/>
                <wp:wrapNone/>
                <wp:docPr id="27" name="Frame26"/>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60" w:after="283"/>
        <w:jc w:val="both"/>
        <w:rPr/>
      </w:pPr>
      <w:hyperlink w:anchor="i6a3ffadfac5b43cb82c32b479edcc3ef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Income Taxes</w:t>
      </w:r>
    </w:p>
    <w:tbl>
      <w:tblPr>
        <w:tblW w:w="10061" w:type="dxa"/>
        <w:jc w:val="left"/>
        <w:tblInd w:w="0" w:type="dxa"/>
        <w:tblLayout w:type="fixed"/>
        <w:tblCellMar>
          <w:top w:w="28" w:type="dxa"/>
          <w:left w:w="28" w:type="dxa"/>
          <w:bottom w:w="28" w:type="dxa"/>
          <w:right w:w="28" w:type="dxa"/>
        </w:tblCellMar>
      </w:tblPr>
      <w:tblGrid>
        <w:gridCol w:w="1134"/>
        <w:gridCol w:w="998"/>
        <w:gridCol w:w="1003"/>
        <w:gridCol w:w="622"/>
        <w:gridCol w:w="353"/>
        <w:gridCol w:w="353"/>
        <w:gridCol w:w="321"/>
        <w:gridCol w:w="321"/>
        <w:gridCol w:w="321"/>
        <w:gridCol w:w="622"/>
        <w:gridCol w:w="321"/>
        <w:gridCol w:w="321"/>
        <w:gridCol w:w="109"/>
        <w:gridCol w:w="109"/>
        <w:gridCol w:w="109"/>
        <w:gridCol w:w="480"/>
        <w:gridCol w:w="350"/>
        <w:gridCol w:w="355"/>
        <w:gridCol w:w="109"/>
        <w:gridCol w:w="109"/>
        <w:gridCol w:w="109"/>
        <w:gridCol w:w="350"/>
        <w:gridCol w:w="350"/>
        <w:gridCol w:w="351"/>
        <w:gridCol w:w="109"/>
        <w:gridCol w:w="109"/>
        <w:gridCol w:w="109"/>
        <w:gridCol w:w="154"/>
      </w:tblGrid>
      <w:tr>
        <w:trPr/>
        <w:tc>
          <w:tcPr>
            <w:tcW w:w="113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5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(7,585)</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both"/>
        <w:rPr>
          <w:rFonts w:ascii="Arial;sans-serif" w:hAnsi="Arial;sans-serif"/>
          <w:b w:val="false"/>
          <w:color w:val="000000"/>
          <w:sz w:val="20"/>
        </w:rPr>
      </w:pPr>
      <w:r>
        <w:rPr>
          <w:rFonts w:ascii="Arial;sans-serif" w:hAnsi="Arial;sans-serif"/>
          <w:b w:val="false"/>
          <w:color w:val="000000"/>
          <w:sz w:val="20"/>
        </w:rPr>
        <w:t>Income tax expense decreased $0.7 million, primarily as a result of the impact of changes in our valuation allowance during the period and a decrease in income before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Comparison of Nine Months Ended September 30, 2025 and 2024</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Revenue </w:t>
      </w:r>
    </w:p>
    <w:tbl>
      <w:tblPr>
        <w:tblW w:w="10205" w:type="dxa"/>
        <w:jc w:val="left"/>
        <w:tblInd w:w="0" w:type="dxa"/>
        <w:tblLayout w:type="fixed"/>
        <w:tblCellMar>
          <w:top w:w="28" w:type="dxa"/>
          <w:left w:w="28" w:type="dxa"/>
          <w:bottom w:w="28" w:type="dxa"/>
          <w:right w:w="28" w:type="dxa"/>
        </w:tblCellMar>
      </w:tblPr>
      <w:tblGrid>
        <w:gridCol w:w="1514"/>
        <w:gridCol w:w="1309"/>
        <w:gridCol w:w="1318"/>
        <w:gridCol w:w="280"/>
        <w:gridCol w:w="1000"/>
        <w:gridCol w:w="145"/>
        <w:gridCol w:w="145"/>
        <w:gridCol w:w="145"/>
        <w:gridCol w:w="145"/>
        <w:gridCol w:w="280"/>
        <w:gridCol w:w="1000"/>
        <w:gridCol w:w="145"/>
        <w:gridCol w:w="109"/>
        <w:gridCol w:w="109"/>
        <w:gridCol w:w="109"/>
        <w:gridCol w:w="211"/>
        <w:gridCol w:w="703"/>
        <w:gridCol w:w="109"/>
        <w:gridCol w:w="109"/>
        <w:gridCol w:w="109"/>
        <w:gridCol w:w="109"/>
        <w:gridCol w:w="321"/>
        <w:gridCol w:w="321"/>
        <w:gridCol w:w="460"/>
      </w:tblGrid>
      <w:tr>
        <w:trPr/>
        <w:tc>
          <w:tcPr>
            <w:tcW w:w="1514"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4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4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Program fees</w:t>
            </w:r>
          </w:p>
        </w:tc>
        <w:tc>
          <w:tcPr>
            <w:tcW w:w="2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43,487</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43,306</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r>
              <w:rPr>
                <w:rFonts w:ascii="Arial;sans-serif" w:hAnsi="Arial;sans-serif"/>
                <w:b/>
                <w:color w:val="000000"/>
                <w:sz w:val="20"/>
              </w:rPr>
              <w:t>%</w:t>
            </w:r>
          </w:p>
        </w:tc>
      </w:tr>
      <w:tr>
        <w:trPr/>
        <w:tc>
          <w:tcPr>
            <w:tcW w:w="4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Profit share</w:t>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New certified loan originations</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22,754 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44,801 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w:t>
            </w:r>
          </w:p>
        </w:tc>
      </w:tr>
      <w:tr>
        <w:trPr/>
        <w:tc>
          <w:tcPr>
            <w:tcW w:w="4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estimated revenues</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(14,764)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w:t>
            </w:r>
          </w:p>
        </w:tc>
      </w:tr>
      <w:tr>
        <w:trPr/>
        <w:tc>
          <w:tcPr>
            <w:tcW w:w="4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profit share</w:t>
            </w:r>
          </w:p>
        </w:tc>
        <w:tc>
          <w:tcPr>
            <w:tcW w:w="12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23,169</w:t>
            </w: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30,037</w:t>
            </w: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(6,868)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(23)%</w:t>
            </w:r>
          </w:p>
        </w:tc>
      </w:tr>
      <w:tr>
        <w:trPr/>
        <w:tc>
          <w:tcPr>
            <w:tcW w:w="4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Claims administration and other service fees</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7,216</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7,605</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w:t>
            </w:r>
          </w:p>
        </w:tc>
      </w:tr>
      <w:tr>
        <w:trPr/>
        <w:tc>
          <w:tcPr>
            <w:tcW w:w="4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revenue</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73,872</w:t>
            </w:r>
            <w:r>
              <w:rPr>
                <w:color w:val="000000"/>
              </w:rPr>
              <w:t>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80,948</w:t>
            </w:r>
            <w:r>
              <w:rPr>
                <w:color w:val="000000"/>
              </w:rPr>
              <w:t>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(7,076)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w:t>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Total revenue decreased by $7.1 million, or 9% primarily driven by a $6.9 million decrease in profit share revenue and a $0.4 million decrease in claims administration and other service fee revenues, partially offset by a $0.2 million increase in program fees.</w:t>
      </w:r>
    </w:p>
    <w:p>
      <w:pPr>
        <w:pStyle w:val="TextBody"/>
        <w:bidi w:val="0"/>
        <w:spacing w:lineRule="auto" w:line="288" w:before="120" w:after="283"/>
        <w:jc w:val="both"/>
        <w:rPr/>
      </w:pPr>
      <w:r>
        <w:rPr>
          <w:rFonts w:ascii="Arial;sans-serif" w:hAnsi="Arial;sans-serif"/>
          <w:b w:val="false"/>
          <w:i/>
          <w:color w:val="000000"/>
          <w:sz w:val="20"/>
        </w:rPr>
        <w:t>Program Fees</w:t>
      </w:r>
      <w:r>
        <w:rPr>
          <w:rFonts w:ascii="Arial;sans-serif" w:hAnsi="Arial;sans-serif"/>
          <w:b w:val="false"/>
          <w:color w:val="000000"/>
          <w:sz w:val="20"/>
        </w:rPr>
        <w:t>. Program fees revenue increased by $0.2 million primarily driven by a 9% increase in unit economics per certified loan, partially offset by an 8% decrease in certified loan volume.</w:t>
      </w:r>
    </w:p>
    <w:p>
      <w:pPr>
        <w:pStyle w:val="TextBody"/>
        <w:bidi w:val="0"/>
        <w:spacing w:lineRule="auto" w:line="288" w:before="120" w:after="283"/>
        <w:jc w:val="both"/>
        <w:rPr/>
      </w:pPr>
      <w:r>
        <w:rPr>
          <w:rFonts w:ascii="Arial;sans-serif" w:hAnsi="Arial;sans-serif"/>
          <w:b w:val="false"/>
          <w:i/>
          <w:color w:val="000000"/>
          <w:sz w:val="20"/>
        </w:rPr>
        <w:t>Profit Share</w:t>
      </w:r>
      <w:r>
        <w:rPr>
          <w:rFonts w:ascii="Arial;sans-serif" w:hAnsi="Arial;sans-serif"/>
          <w:b w:val="false"/>
          <w:color w:val="000000"/>
          <w:sz w:val="20"/>
        </w:rPr>
        <w:t>. Profit share revenue decreased by $6.9 million, or 23%, due to a $22.0 million, or 49%, decrease in anticipated profit share revenue associated with new certified loan originations, partially offset by a $15.2 million, or 103%, decrease in the negative change in estimate adjustment during the period.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During the nine months ended September 30, 2025, we recorded $22.8 million in anticipated profit share associated with 78,040 new certified loans for an average of $292 per loan as compared to $44.8 million in anticipated profit share associated with 84,587 certified loans for an average of $530 per loan during the nine months ended September 30, 2024. The decrease in the average revenue per loan was due to a decrease in expected future profit share consideration to be received from our insurance partners on the loans certified based on current estimates of loan default rates, prepayment rates and severity of losses and an increased constraint applied to the estimated variable consideration recognized during the period in an effort to avoid future significant reversals of profit share revenue.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In addition, during the nine months ended September 30, 2025, we recorded an increase of $0.4 million in profit share revenue for changes in estimates of variable consideration related to performance obligations satisfied in previous periods, or historic vintages, primarily as a result of forecast assumption changes due to lower than anticipated prepayment rates and severity of losses, partially offset by higher than anticipated loan defaults. During the nine months ended September 30, 2024, we recorded a reduction of $14.8 million in profit share revenue for changes in estimates of variable consideration of historic vintages primarily due to higher than anticipated loan defaults, partially offset by lower than anticipated severity of losses and prepayment 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84150"/>
                <wp:effectExtent l="0" t="0" r="0" b="0"/>
                <wp:wrapNone/>
                <wp:docPr id="28" name="Frame27"/>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60" w:after="283"/>
        <w:jc w:val="both"/>
        <w:rPr/>
      </w:pPr>
      <w:hyperlink w:anchor="i6a3ffadfac5b43cb82c32b479edcc3ef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pPr>
      <w:r>
        <w:rPr>
          <w:rFonts w:ascii="Arial;sans-serif" w:hAnsi="Arial;sans-serif"/>
          <w:b w:val="false"/>
          <w:i/>
          <w:color w:val="000000"/>
          <w:sz w:val="20"/>
        </w:rPr>
        <w:t>Claims Administration and Other Service Fees</w:t>
      </w:r>
      <w:r>
        <w:rPr>
          <w:rFonts w:ascii="Arial;sans-serif" w:hAnsi="Arial;sans-serif"/>
          <w:b w:val="false"/>
          <w:color w:val="000000"/>
          <w:sz w:val="20"/>
        </w:rPr>
        <w:t>. Revenue from claims administration and other service fees, which primarily represents 3% of our insurance partners’ earned premium, decreased $0.4 million, or 5%, due to a decrease in total earned premiums.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Cost of Services, Gross Profit and Gross Margin</w:t>
      </w:r>
    </w:p>
    <w:tbl>
      <w:tblPr>
        <w:tblW w:w="7647" w:type="dxa"/>
        <w:jc w:val="center"/>
        <w:tblInd w:w="0" w:type="dxa"/>
        <w:tblLayout w:type="fixed"/>
        <w:tblCellMar>
          <w:top w:w="28" w:type="dxa"/>
          <w:left w:w="28" w:type="dxa"/>
          <w:bottom w:w="28" w:type="dxa"/>
          <w:right w:w="28" w:type="dxa"/>
        </w:tblCellMar>
      </w:tblPr>
      <w:tblGrid>
        <w:gridCol w:w="560"/>
        <w:gridCol w:w="490"/>
        <w:gridCol w:w="495"/>
        <w:gridCol w:w="248"/>
        <w:gridCol w:w="886"/>
        <w:gridCol w:w="337"/>
        <w:gridCol w:w="128"/>
        <w:gridCol w:w="128"/>
        <w:gridCol w:w="128"/>
        <w:gridCol w:w="248"/>
        <w:gridCol w:w="886"/>
        <w:gridCol w:w="337"/>
        <w:gridCol w:w="109"/>
        <w:gridCol w:w="109"/>
        <w:gridCol w:w="109"/>
        <w:gridCol w:w="211"/>
        <w:gridCol w:w="706"/>
        <w:gridCol w:w="109"/>
        <w:gridCol w:w="109"/>
        <w:gridCol w:w="109"/>
        <w:gridCol w:w="109"/>
        <w:gridCol w:w="321"/>
        <w:gridCol w:w="321"/>
        <w:gridCol w:w="454"/>
      </w:tblGrid>
      <w:tr>
        <w:trPr/>
        <w:tc>
          <w:tcPr>
            <w:tcW w:w="56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15"/>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revenue</w:t>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73,872</w:t>
            </w: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80,948</w:t>
            </w: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(7,076)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w:t>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services</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16,911 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17,590 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Gross profit</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56,961</w:t>
            </w:r>
            <w:r>
              <w:rPr>
                <w:color w:val="000000"/>
              </w:rPr>
              <w:t>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63,358</w:t>
            </w:r>
            <w:r>
              <w:rPr>
                <w:color w:val="000000"/>
              </w:rPr>
              <w:t>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(6,397)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(10)%</w:t>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Gross margin</w:t>
            </w:r>
          </w:p>
        </w:tc>
        <w:tc>
          <w:tcPr>
            <w:tcW w:w="113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77</w:t>
            </w:r>
          </w:p>
        </w:tc>
        <w:tc>
          <w:tcPr>
            <w:tcW w:w="3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78</w:t>
            </w:r>
          </w:p>
        </w:tc>
        <w:tc>
          <w:tcPr>
            <w:tcW w:w="3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w:t>
            </w:r>
          </w:p>
        </w:tc>
      </w:tr>
    </w:tbl>
    <w:p>
      <w:pPr>
        <w:pStyle w:val="TextBody"/>
        <w:bidi w:val="0"/>
        <w:spacing w:lineRule="auto" w:line="288" w:before="120" w:after="283"/>
        <w:jc w:val="both"/>
        <w:rPr/>
      </w:pPr>
      <w:r>
        <w:rPr>
          <w:rFonts w:ascii="Arial;sans-serif" w:hAnsi="Arial;sans-serif"/>
          <w:b w:val="false"/>
          <w:i/>
          <w:color w:val="000000"/>
          <w:sz w:val="20"/>
        </w:rPr>
        <w:t>Cost of Services</w:t>
      </w:r>
      <w:r>
        <w:rPr>
          <w:rFonts w:ascii="Arial;sans-serif" w:hAnsi="Arial;sans-serif"/>
          <w:b w:val="false"/>
          <w:color w:val="000000"/>
          <w:sz w:val="20"/>
        </w:rPr>
        <w:t xml:space="preserve">. Cost of services decreased $0.7 million, or 4%, primarily due to a decrease in employee compensation and benefit costs of $2.2 million, partially offset by increases in fees paid to data service providers of $1.1 million and partner commissions of $0.4 million. </w:t>
      </w:r>
    </w:p>
    <w:p>
      <w:pPr>
        <w:pStyle w:val="TextBody"/>
        <w:bidi w:val="0"/>
        <w:spacing w:lineRule="auto" w:line="288" w:before="120" w:after="283"/>
        <w:jc w:val="both"/>
        <w:rPr/>
      </w:pPr>
      <w:r>
        <w:rPr>
          <w:rFonts w:ascii="Arial;sans-serif" w:hAnsi="Arial;sans-serif"/>
          <w:b w:val="false"/>
          <w:i/>
          <w:color w:val="000000"/>
          <w:sz w:val="20"/>
        </w:rPr>
        <w:t>Gross Profit</w:t>
      </w:r>
      <w:r>
        <w:rPr>
          <w:rFonts w:ascii="Arial;sans-serif" w:hAnsi="Arial;sans-serif"/>
          <w:b w:val="false"/>
          <w:color w:val="000000"/>
          <w:sz w:val="20"/>
        </w:rPr>
        <w:t>. Gross profit decrease</w:t>
      </w:r>
      <w:r>
        <w:rPr>
          <w:rFonts w:ascii="Arial;sans-serif" w:hAnsi="Arial;sans-serif"/>
          <w:b w:val="false"/>
          <w:color w:val="000000"/>
          <w:sz w:val="20"/>
          <w:shd w:fill="FFFFFF" w:val="clear"/>
        </w:rPr>
        <w:t xml:space="preserve">d </w:t>
      </w:r>
      <w:r>
        <w:rPr>
          <w:rFonts w:ascii="Arial;sans-serif" w:hAnsi="Arial;sans-serif"/>
          <w:b w:val="false"/>
          <w:color w:val="000000"/>
          <w:sz w:val="20"/>
        </w:rPr>
        <w:t>by $6.4 million, or 10%, primarily driven by a decrease in profit share revenue, partially offset by a decrease in cost of services, as discussed above.</w:t>
      </w:r>
      <w:r>
        <w:rPr>
          <w:color w:val="000000"/>
          <w:shd w:fill="FFFFFF" w:val="clear"/>
        </w:rPr>
        <w:t xml:space="preserve">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Operating Expenses, Operating Income and Operating Margin</w:t>
      </w:r>
    </w:p>
    <w:tbl>
      <w:tblPr>
        <w:tblW w:w="8696" w:type="dxa"/>
        <w:jc w:val="center"/>
        <w:tblInd w:w="0" w:type="dxa"/>
        <w:tblLayout w:type="fixed"/>
        <w:tblCellMar>
          <w:top w:w="28" w:type="dxa"/>
          <w:left w:w="28" w:type="dxa"/>
          <w:bottom w:w="28" w:type="dxa"/>
          <w:right w:w="28" w:type="dxa"/>
        </w:tblCellMar>
      </w:tblPr>
      <w:tblGrid>
        <w:gridCol w:w="901"/>
        <w:gridCol w:w="793"/>
        <w:gridCol w:w="795"/>
        <w:gridCol w:w="248"/>
        <w:gridCol w:w="886"/>
        <w:gridCol w:w="337"/>
        <w:gridCol w:w="128"/>
        <w:gridCol w:w="128"/>
        <w:gridCol w:w="128"/>
        <w:gridCol w:w="248"/>
        <w:gridCol w:w="886"/>
        <w:gridCol w:w="337"/>
        <w:gridCol w:w="109"/>
        <w:gridCol w:w="109"/>
        <w:gridCol w:w="109"/>
        <w:gridCol w:w="211"/>
        <w:gridCol w:w="811"/>
        <w:gridCol w:w="109"/>
        <w:gridCol w:w="109"/>
        <w:gridCol w:w="109"/>
        <w:gridCol w:w="109"/>
        <w:gridCol w:w="321"/>
        <w:gridCol w:w="321"/>
        <w:gridCol w:w="4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15"/>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expenses</w:t>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2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43,924 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33,318 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11,968 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13,260 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6,832 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3,601 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operating expenses</w:t>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62,724</w:t>
            </w:r>
            <w:r>
              <w:rPr>
                <w:color w:val="000000"/>
              </w:rPr>
              <w:t>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50,179</w:t>
            </w:r>
            <w:r>
              <w:rPr>
                <w:color w:val="000000"/>
              </w:rPr>
              <w:t>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12,545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25%</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income (loss)</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(5,763)</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13,179</w:t>
            </w:r>
            <w:r>
              <w:rPr>
                <w:color w:val="000000"/>
              </w:rPr>
              <w:t> </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(18,942)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(144)%</w:t>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margin</w:t>
            </w:r>
          </w:p>
        </w:tc>
        <w:tc>
          <w:tcPr>
            <w:tcW w:w="113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w:t>
            </w:r>
          </w:p>
        </w:tc>
        <w:tc>
          <w:tcPr>
            <w:tcW w:w="3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w:t>
            </w:r>
            <w:r>
              <w:rPr>
                <w:color w:val="000000"/>
              </w:rPr>
              <w:t> </w:t>
            </w:r>
          </w:p>
        </w:tc>
        <w:tc>
          <w:tcPr>
            <w:tcW w:w="3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(24)%</w:t>
            </w:r>
          </w:p>
        </w:tc>
      </w:tr>
    </w:tbl>
    <w:p>
      <w:pPr>
        <w:pStyle w:val="TextBody"/>
        <w:bidi w:val="0"/>
        <w:spacing w:lineRule="auto" w:line="288" w:before="120" w:after="283"/>
        <w:jc w:val="both"/>
        <w:rPr/>
      </w:pPr>
      <w:r>
        <w:rPr>
          <w:rFonts w:ascii="Arial;sans-serif" w:hAnsi="Arial;sans-serif"/>
          <w:b w:val="false"/>
          <w:i/>
          <w:color w:val="000000"/>
          <w:sz w:val="20"/>
        </w:rPr>
        <w:t>General and Administrative</w:t>
      </w:r>
      <w:r>
        <w:rPr>
          <w:rFonts w:ascii="Arial;sans-serif" w:hAnsi="Arial;sans-serif"/>
          <w:b w:val="false"/>
          <w:color w:val="000000"/>
          <w:sz w:val="20"/>
        </w:rPr>
        <w:t>. General and administrative expenses increased by $10.6 million, or 32%, primarily driven by a one-time payment of $11.0 million made in connection with the Allied Amendment and a $1.0 million increase in employee compensation and benefit costs, partially offset by a decrease of $0.9 million in professional fees and $0.5 million in travel, meals and entertainment expenses.</w:t>
      </w:r>
    </w:p>
    <w:p>
      <w:pPr>
        <w:pStyle w:val="TextBody"/>
        <w:bidi w:val="0"/>
        <w:spacing w:lineRule="auto" w:line="288" w:before="120" w:after="283"/>
        <w:jc w:val="both"/>
        <w:rPr/>
      </w:pPr>
      <w:r>
        <w:rPr>
          <w:rFonts w:ascii="Arial;sans-serif" w:hAnsi="Arial;sans-serif"/>
          <w:b w:val="false"/>
          <w:i/>
          <w:color w:val="000000"/>
          <w:sz w:val="20"/>
        </w:rPr>
        <w:t>Selling and Marketing</w:t>
      </w:r>
      <w:r>
        <w:rPr>
          <w:rFonts w:ascii="Arial;sans-serif" w:hAnsi="Arial;sans-serif"/>
          <w:b w:val="false"/>
          <w:color w:val="000000"/>
          <w:sz w:val="20"/>
        </w:rPr>
        <w:t xml:space="preserve">. Selling and marketing expenses decreased by $1.3 million, or 10%, primarily due to decreases of $0.6 million in business development and marketing expenses, $0.5 million in employee compensation and benefit costs, and $0.2 million in travel, meals and entertainment expenses. </w:t>
      </w:r>
    </w:p>
    <w:p>
      <w:pPr>
        <w:pStyle w:val="TextBody"/>
        <w:bidi w:val="0"/>
        <w:spacing w:lineRule="auto" w:line="288" w:before="120" w:after="283"/>
        <w:jc w:val="both"/>
        <w:rPr/>
      </w:pPr>
      <w:r>
        <w:rPr>
          <w:rFonts w:ascii="Arial;sans-serif" w:hAnsi="Arial;sans-serif"/>
          <w:b w:val="false"/>
          <w:i/>
          <w:color w:val="000000"/>
          <w:sz w:val="20"/>
        </w:rPr>
        <w:t>Research and Development</w:t>
      </w:r>
      <w:r>
        <w:rPr>
          <w:rFonts w:ascii="Arial;sans-serif" w:hAnsi="Arial;sans-serif"/>
          <w:b w:val="false"/>
          <w:color w:val="000000"/>
          <w:sz w:val="20"/>
        </w:rPr>
        <w:t xml:space="preserve">. Research and development expenses increased by $3.2 million, or 90%, primarily due to an increase in employee compensation and benefit costs of $3.5 million, partially offset by a decrease in data service costs of $0.3 million. </w:t>
      </w:r>
      <w:r>
        <w:rPr>
          <w:rFonts w:ascii="Arial;sans-serif" w:hAnsi="Arial;sans-serif"/>
          <w:b w:val="false"/>
          <w:color w:val="000000"/>
          <w:sz w:val="20"/>
          <w:shd w:fill="FFFFFF" w:val="clear"/>
        </w:rPr>
        <w:t>The increase in employee compensation and benefits costs is primarily due to an increased focus on product development activities as well as a decrease in software development costs capitalized during the period.</w:t>
      </w:r>
    </w:p>
    <w:p>
      <w:pPr>
        <w:pStyle w:val="TextBody"/>
        <w:bidi w:val="0"/>
        <w:spacing w:lineRule="auto" w:line="288" w:before="120" w:after="283"/>
        <w:jc w:val="both"/>
        <w:rPr/>
      </w:pPr>
      <w:r>
        <w:rPr>
          <w:rFonts w:ascii="Arial;sans-serif" w:hAnsi="Arial;sans-serif"/>
          <w:b w:val="false"/>
          <w:i/>
          <w:color w:val="000000"/>
          <w:sz w:val="20"/>
        </w:rPr>
        <w:t>Operating Income (Loss)</w:t>
      </w:r>
      <w:r>
        <w:rPr>
          <w:rFonts w:ascii="Arial;sans-serif" w:hAnsi="Arial;sans-serif"/>
          <w:b w:val="false"/>
          <w:color w:val="000000"/>
          <w:sz w:val="20"/>
        </w:rPr>
        <w:t>. Operating income decreased by $18.9 million, or 144%, primarily driven by an increase in operating expenses and a decrease in total revenues as discussed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84150"/>
                <wp:effectExtent l="0" t="0" r="0" b="0"/>
                <wp:wrapNone/>
                <wp:docPr id="29" name="Frame28"/>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60" w:after="283"/>
        <w:jc w:val="both"/>
        <w:rPr/>
      </w:pPr>
      <w:hyperlink w:anchor="i6a3ffadfac5b43cb82c32b479edcc3ef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Interest Expense, Interest Income and Other Income (Expense)</w:t>
      </w:r>
    </w:p>
    <w:tbl>
      <w:tblPr>
        <w:tblW w:w="9472" w:type="dxa"/>
        <w:jc w:val="left"/>
        <w:tblInd w:w="0" w:type="dxa"/>
        <w:tblLayout w:type="fixed"/>
        <w:tblCellMar>
          <w:top w:w="28" w:type="dxa"/>
          <w:left w:w="28" w:type="dxa"/>
          <w:bottom w:w="28" w:type="dxa"/>
          <w:right w:w="28" w:type="dxa"/>
        </w:tblCellMar>
      </w:tblPr>
      <w:tblGrid>
        <w:gridCol w:w="940"/>
        <w:gridCol w:w="824"/>
        <w:gridCol w:w="831"/>
        <w:gridCol w:w="394"/>
        <w:gridCol w:w="353"/>
        <w:gridCol w:w="353"/>
        <w:gridCol w:w="203"/>
        <w:gridCol w:w="203"/>
        <w:gridCol w:w="203"/>
        <w:gridCol w:w="394"/>
        <w:gridCol w:w="1319"/>
        <w:gridCol w:w="203"/>
        <w:gridCol w:w="109"/>
        <w:gridCol w:w="109"/>
        <w:gridCol w:w="109"/>
        <w:gridCol w:w="480"/>
        <w:gridCol w:w="291"/>
        <w:gridCol w:w="295"/>
        <w:gridCol w:w="109"/>
        <w:gridCol w:w="109"/>
        <w:gridCol w:w="109"/>
        <w:gridCol w:w="350"/>
        <w:gridCol w:w="350"/>
        <w:gridCol w:w="351"/>
        <w:gridCol w:w="109"/>
        <w:gridCol w:w="109"/>
        <w:gridCol w:w="109"/>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6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6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(7,440)</w:t>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(8,468)</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7,220</w:t>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9,278 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w:t>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Arial;sans-serif" w:hAnsi="Arial;sans-serif"/>
          <w:b w:val="false"/>
          <w:i/>
          <w:color w:val="000000"/>
          <w:sz w:val="20"/>
          <w:shd w:fill="FFFFFF" w:val="clear"/>
        </w:rPr>
        <w:t>Interest Expense.</w:t>
      </w:r>
      <w:r>
        <w:rPr>
          <w:color w:val="000000"/>
          <w:shd w:fill="FFFFFF" w:val="clear"/>
        </w:rPr>
        <w:t xml:space="preserve"> </w:t>
      </w:r>
      <w:r>
        <w:rPr>
          <w:rFonts w:ascii="Arial;sans-serif" w:hAnsi="Arial;sans-serif"/>
          <w:b w:val="false"/>
          <w:color w:val="000000"/>
          <w:sz w:val="20"/>
        </w:rPr>
        <w:t>Interest expense decreased $1.0 million, or 12%, as a result of lower borrowing costs primarily due to a decrease in interest rates and a reduction in our principal balance during the period.</w:t>
      </w:r>
    </w:p>
    <w:p>
      <w:pPr>
        <w:pStyle w:val="TextBody"/>
        <w:bidi w:val="0"/>
        <w:spacing w:lineRule="auto" w:line="288" w:before="120" w:after="283"/>
        <w:jc w:val="both"/>
        <w:rPr/>
      </w:pPr>
      <w:r>
        <w:rPr>
          <w:rFonts w:ascii="Arial;sans-serif" w:hAnsi="Arial;sans-serif"/>
          <w:b w:val="false"/>
          <w:i/>
          <w:color w:val="000000"/>
          <w:sz w:val="20"/>
          <w:shd w:fill="FFFFFF" w:val="clear"/>
        </w:rPr>
        <w:t>Interest Income.</w:t>
      </w:r>
      <w:r>
        <w:rPr>
          <w:color w:val="000000"/>
          <w:shd w:fill="FFFFFF" w:val="clear"/>
        </w:rPr>
        <w:t xml:space="preserve"> </w:t>
      </w:r>
      <w:r>
        <w:rPr>
          <w:rFonts w:ascii="Arial;sans-serif" w:hAnsi="Arial;sans-serif"/>
          <w:b w:val="false"/>
          <w:color w:val="000000"/>
          <w:sz w:val="20"/>
          <w:shd w:fill="FFFFFF" w:val="clear"/>
        </w:rPr>
        <w:t>I</w:t>
      </w:r>
      <w:r>
        <w:rPr>
          <w:rFonts w:ascii="Arial;sans-serif" w:hAnsi="Arial;sans-serif"/>
          <w:b w:val="false"/>
          <w:color w:val="000000"/>
          <w:sz w:val="20"/>
        </w:rPr>
        <w:t>nterest income decreased $2.1 million, or 22%, primarily due to a decrease in interest earned on our cash equivalents.</w:t>
      </w:r>
    </w:p>
    <w:p>
      <w:pPr>
        <w:pStyle w:val="TextBody"/>
        <w:bidi w:val="0"/>
        <w:spacing w:lineRule="auto" w:line="288" w:before="120" w:after="283"/>
        <w:jc w:val="both"/>
        <w:rPr/>
      </w:pPr>
      <w:r>
        <w:rPr>
          <w:rFonts w:ascii="Arial;sans-serif" w:hAnsi="Arial;sans-serif"/>
          <w:b w:val="false"/>
          <w:i/>
          <w:color w:val="000000"/>
          <w:sz w:val="20"/>
        </w:rPr>
        <w:t>Other Income (Expense)</w:t>
      </w:r>
      <w:r>
        <w:rPr>
          <w:rFonts w:ascii="Arial;sans-serif" w:hAnsi="Arial;sans-serif"/>
          <w:b w:val="false"/>
          <w:color w:val="000000"/>
          <w:sz w:val="20"/>
        </w:rPr>
        <w:t>. Other income (expense), net increased $0.2 million, related to interest income received in connection with a state tax refund during the nine months ended September 30, 2025.</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Income Taxes</w:t>
      </w:r>
    </w:p>
    <w:tbl>
      <w:tblPr>
        <w:tblW w:w="10112" w:type="dxa"/>
        <w:jc w:val="left"/>
        <w:tblInd w:w="0" w:type="dxa"/>
        <w:tblLayout w:type="fixed"/>
        <w:tblCellMar>
          <w:top w:w="28" w:type="dxa"/>
          <w:left w:w="28" w:type="dxa"/>
          <w:bottom w:w="28" w:type="dxa"/>
          <w:right w:w="28" w:type="dxa"/>
        </w:tblCellMar>
      </w:tblPr>
      <w:tblGrid>
        <w:gridCol w:w="1134"/>
        <w:gridCol w:w="998"/>
        <w:gridCol w:w="1003"/>
        <w:gridCol w:w="593"/>
        <w:gridCol w:w="353"/>
        <w:gridCol w:w="353"/>
        <w:gridCol w:w="306"/>
        <w:gridCol w:w="306"/>
        <w:gridCol w:w="306"/>
        <w:gridCol w:w="593"/>
        <w:gridCol w:w="345"/>
        <w:gridCol w:w="346"/>
        <w:gridCol w:w="109"/>
        <w:gridCol w:w="109"/>
        <w:gridCol w:w="109"/>
        <w:gridCol w:w="480"/>
        <w:gridCol w:w="402"/>
        <w:gridCol w:w="408"/>
        <w:gridCol w:w="109"/>
        <w:gridCol w:w="109"/>
        <w:gridCol w:w="109"/>
        <w:gridCol w:w="350"/>
        <w:gridCol w:w="350"/>
        <w:gridCol w:w="351"/>
        <w:gridCol w:w="109"/>
        <w:gridCol w:w="109"/>
        <w:gridCol w:w="109"/>
        <w:gridCol w:w="154"/>
      </w:tblGrid>
      <w:tr>
        <w:trPr/>
        <w:tc>
          <w:tcPr>
            <w:tcW w:w="113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50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5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(5,798)</w:t>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Income tax expense</w:t>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w:t>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Effective tax rate</w:t>
            </w:r>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Income tax expense decreased $4.4 million, or 97%, primarily as a result of the impact of changes in our valuation allowance during the period and a decrease in income before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Cash Flow and Liquidity Analysis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assess liquidity primarily in terms of our ability to generate cash to fund operating and investing activities. A significant portion of our cash from operating activities is derived from our profit share arrangements with our insurance partners, which are subject to judgments and forecast model assumptions and is, therefore, subject to variability. Changes in these assumptions have resulted in negative impacts to our estimated profit share revenues, which may adversely affect our future expected cash flows. Despite this uncertainty, we believe that our existing cash resources and the Revolving Credit Facility will provide sufficient liquidity to fund our near-term working capital needs. We regularly evaluate alternatives for managing our capital structure and liquidity profile in consideration of expected cash flows, growth and operating capital requirements and capital market conditions.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Based on our assessment of the underlying provisions and circumstances of our contractual obligations, other than the risks that we and other similarly situated companies face with respect to macroeconomic conditions and the condition of the capital markets (as described in “Risk Factors” in our Annual Report), there is no known trend, demand, commitment, event, or uncertainty that is reasonably likely to occur that would have a material adverse effect on our consolidated results of operations, financial condition, or liquidity.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provides a summary of cash flow data:</w:t>
      </w:r>
    </w:p>
    <w:tbl>
      <w:tblPr>
        <w:tblW w:w="7843" w:type="dxa"/>
        <w:jc w:val="left"/>
        <w:tblInd w:w="0" w:type="dxa"/>
        <w:tblLayout w:type="fixed"/>
        <w:tblCellMar>
          <w:top w:w="28" w:type="dxa"/>
          <w:left w:w="28" w:type="dxa"/>
          <w:bottom w:w="28" w:type="dxa"/>
          <w:right w:w="28" w:type="dxa"/>
        </w:tblCellMar>
      </w:tblPr>
      <w:tblGrid>
        <w:gridCol w:w="1617"/>
        <w:gridCol w:w="1424"/>
        <w:gridCol w:w="1429"/>
        <w:gridCol w:w="288"/>
        <w:gridCol w:w="965"/>
        <w:gridCol w:w="149"/>
        <w:gridCol w:w="149"/>
        <w:gridCol w:w="149"/>
        <w:gridCol w:w="149"/>
        <w:gridCol w:w="288"/>
        <w:gridCol w:w="1026"/>
        <w:gridCol w:w="210"/>
      </w:tblGrid>
      <w:tr>
        <w:trPr/>
        <w:tc>
          <w:tcPr>
            <w:tcW w:w="1617"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 September 30,</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18"/>
              </w:rPr>
            </w:pPr>
            <w:r>
              <w:rPr>
                <w:rFonts w:ascii="Arial;sans-serif" w:hAnsi="Arial;sans-serif"/>
                <w:b w:val="false"/>
                <w:i/>
                <w:color w:val="000000"/>
                <w:sz w:val="18"/>
              </w:rPr>
              <w:t>(in thousands)</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provided by (used in) operating activities</w:t>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(8,644)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20,976 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25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(911)</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(2,738)</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(10,640)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(3,960)</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84150"/>
                <wp:effectExtent l="0" t="0" r="0" b="0"/>
                <wp:wrapNone/>
                <wp:docPr id="30" name="Frame29"/>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60" w:after="283"/>
        <w:jc w:val="both"/>
        <w:rPr/>
      </w:pPr>
      <w:hyperlink w:anchor="i6a3ffadfac5b43cb82c32b479edcc3ef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Cash Flows from Operating Activities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cash flows provided by (used in) operating activities reflect net income (loss) adjusted for certain non-cash items and changes in operating assets and liabilities.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summarizes the non-cash adjustments in the operating activities in the unaudited Condensed Statement of Cash Flows:</w:t>
      </w:r>
    </w:p>
    <w:tbl>
      <w:tblPr>
        <w:tblW w:w="8158" w:type="dxa"/>
        <w:jc w:val="left"/>
        <w:tblInd w:w="0" w:type="dxa"/>
        <w:tblLayout w:type="fixed"/>
        <w:tblCellMar>
          <w:top w:w="28" w:type="dxa"/>
          <w:left w:w="28" w:type="dxa"/>
          <w:bottom w:w="28" w:type="dxa"/>
          <w:right w:w="28" w:type="dxa"/>
        </w:tblCellMar>
      </w:tblPr>
      <w:tblGrid>
        <w:gridCol w:w="1736"/>
        <w:gridCol w:w="1521"/>
        <w:gridCol w:w="1528"/>
        <w:gridCol w:w="288"/>
        <w:gridCol w:w="965"/>
        <w:gridCol w:w="149"/>
        <w:gridCol w:w="149"/>
        <w:gridCol w:w="149"/>
        <w:gridCol w:w="149"/>
        <w:gridCol w:w="288"/>
        <w:gridCol w:w="1026"/>
        <w:gridCol w:w="210"/>
      </w:tblGrid>
      <w:tr>
        <w:trPr/>
        <w:tc>
          <w:tcPr>
            <w:tcW w:w="1736"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 September 30,</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18"/>
              </w:rPr>
            </w:pPr>
            <w:r>
              <w:rPr>
                <w:rFonts w:ascii="Arial;sans-serif" w:hAnsi="Arial;sans-serif"/>
                <w:b w:val="false"/>
                <w:i/>
                <w:color w:val="000000"/>
                <w:sz w:val="18"/>
              </w:rPr>
              <w:t>(in thousands)</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income (loss)</w:t>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(5,918)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9,426</w:t>
            </w: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Non-cash adjustments</w:t>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8,447 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13,057 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contract assets</w:t>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(12,035)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(10,594)</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excess profit share receipts</w:t>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other assets and liabilities</w:t>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9,087 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cash provided by (used in) operating activities</w:t>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(8,644)</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20,976</w:t>
            </w:r>
            <w:r>
              <w:rPr>
                <w:color w:val="000000"/>
              </w:rPr>
              <w:t>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For the nine months ended September 30, 2025, net cash provided by (used in) operating activities decreased by $29.6 million, primarily attributable to a $17.5 million increase in cash payments related to cost of services and operating expenses, and includes the one-time payment of $11.0 million made in connection with the Allied Amendment, as well as decreased cash collections of $8.3 million related to reduced revenues, a $3.0 million reduction in working capital, and a $2.1 million decrease in interest income received. The decrease in cash provided by (used in) operating activities was partially offset by a $0.8 million reduction in interest expense paid and a $0.5 million increase in income tax refunds received during the period.</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Cash Flows from Investing Activities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For the nine months ended September 30, 2025 and 2024, net cash used in investing activities was $0.9 million and $2.7 million, respectively, primarily related to capitalized software development costs related to our cloud-based solution and other software developed for internal use.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Cash Flows from Financing Activities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cash flows used in financing activities primarily consist of payments of debt and share repurchases, and shares withheld to satisfy payroll tax withholding requirements associated with the vesting of restricted stock awards.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For the nine months ended September 30, 2025, net cash used in financing activities was $10.6 million and includes a $5.6 million principal payment on our Term Loan due 2027, $4.0 million in share repurchases, and $1.1 million for shares withheld for payroll taxes associated with the vesting of restricted stock awards.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For the nine months ended September 30, 2024, net cash used in financing activities was $4.0 million and included a $2.8 million principal payment on our Term Loan due 2027 and $1.1 million for shares withheld for payroll taxes associated with the vesting of restricted stock awards.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Debt</w:t>
      </w:r>
    </w:p>
    <w:p>
      <w:pPr>
        <w:pStyle w:val="TextBody"/>
        <w:bidi w:val="0"/>
        <w:spacing w:lineRule="auto" w:line="288" w:before="120" w:after="283"/>
        <w:jc w:val="both"/>
        <w:rPr/>
      </w:pPr>
      <w:r>
        <w:rPr>
          <w:rFonts w:ascii="Arial;sans-serif" w:hAnsi="Arial;sans-serif"/>
          <w:b w:val="false"/>
          <w:color w:val="000000"/>
          <w:sz w:val="20"/>
        </w:rPr>
        <w:t>As of September 30, 2025, we had no amounts outstanding under the Revolving Credit Facility and $134.4 million outstanding under our Term Loan due 2027. Refer to Note 4</w:t>
      </w:r>
      <w:r>
        <w:rPr>
          <w:color w:val="000000"/>
        </w:rPr>
        <w:t>—</w:t>
      </w:r>
      <w:r>
        <w:rPr>
          <w:rFonts w:ascii="Arial;sans-serif" w:hAnsi="Arial;sans-serif"/>
          <w:b w:val="false"/>
          <w:i/>
          <w:color w:val="000000"/>
          <w:sz w:val="20"/>
        </w:rPr>
        <w:t>Long-term Debt</w:t>
      </w:r>
      <w:r>
        <w:rPr>
          <w:color w:val="000000"/>
        </w:rPr>
        <w:t xml:space="preserve"> </w:t>
      </w:r>
      <w:r>
        <w:rPr>
          <w:rFonts w:ascii="Arial;sans-serif" w:hAnsi="Arial;sans-serif"/>
          <w:b w:val="false"/>
          <w:color w:val="000000"/>
          <w:sz w:val="20"/>
        </w:rPr>
        <w:t>in the Notes to Condensed Consolidated Financial Statements for further discussion.</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Share Repurchase Program</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 xml:space="preserve">On May 1, 2025, the Board of Directors authorized the Share Repurchase Program allowing the Company to repurchase up to $25.0 million of the Company’s outstanding common stock until May 1, 2026. Repurchases may be made at management’s discretion from time to time in the open market. The Share Repurchase Program may be suspended, amended, or discontinued at any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84150"/>
                <wp:effectExtent l="0" t="0" r="0" b="0"/>
                <wp:wrapNone/>
                <wp:docPr id="31" name="Frame30"/>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60" w:after="283"/>
        <w:jc w:val="both"/>
        <w:rPr/>
      </w:pPr>
      <w:hyperlink w:anchor="i6a3ffadfac5b43cb82c32b479edcc3e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Adjusted EBITDA and Adjusted EBITDA Margin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Adjusted EBITDA and Adjusted EBITDA margin are non-GAAP financial measures used by management to evaluate its operating performance, generate future operating plans and make strategic decisions, including those relating to operating expenses and the allocation of internal resources. Accordingly, we believe these measures provide useful information to investors and others in understanding and evaluating our operating results in the same manner as our management and Board of Directors. These measures further provide useful analysis of period-to-period comparisons of our business, as they exclude the effect of certain non-cash items and certain variable charges.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Beginning in the quarter ended June 30, 2025, we updated the presentation of Adjusted EBITDA to exclude interest income as we believe the exclusion of interest income aligns our definition with comparable companies. In addition, beginning in the quarter ended September 30, 2025, we have updated the presentation of Adjusted EBITDA to exclude certain other non-recurring expenses that do not contribute directly to management’s evaluation of our operating results. Prior periods presented below have been conformed to the current period presentation.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Adjusted EBITDA is defined as GAAP net income (loss) excluding interest expense, interest income, income tax expense, depreciation expense of property and equipment, amortization expense of capitalized software development costs, share-based compensation expense and certain other non-recurring expenses that do not contribute directly to management’s evaluation of our operating results. Adjusted EBITDA margin is defined as Adjusted EBITDA expressed as a percentage of total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presents a reconciliation of GAAP net income (loss) to Adjusted EBITDA for each of the periods indicated:</w:t>
      </w:r>
    </w:p>
    <w:tbl>
      <w:tblPr>
        <w:tblW w:w="10205" w:type="dxa"/>
        <w:jc w:val="center"/>
        <w:tblInd w:w="0" w:type="dxa"/>
        <w:tblLayout w:type="fixed"/>
        <w:tblCellMar>
          <w:top w:w="28" w:type="dxa"/>
          <w:left w:w="28" w:type="dxa"/>
          <w:bottom w:w="28" w:type="dxa"/>
          <w:right w:w="28" w:type="dxa"/>
        </w:tblCellMar>
      </w:tblPr>
      <w:tblGrid>
        <w:gridCol w:w="1191"/>
        <w:gridCol w:w="1001"/>
        <w:gridCol w:w="1008"/>
        <w:gridCol w:w="266"/>
        <w:gridCol w:w="885"/>
        <w:gridCol w:w="362"/>
        <w:gridCol w:w="137"/>
        <w:gridCol w:w="137"/>
        <w:gridCol w:w="137"/>
        <w:gridCol w:w="266"/>
        <w:gridCol w:w="817"/>
        <w:gridCol w:w="362"/>
        <w:gridCol w:w="109"/>
        <w:gridCol w:w="109"/>
        <w:gridCol w:w="109"/>
        <w:gridCol w:w="242"/>
        <w:gridCol w:w="865"/>
        <w:gridCol w:w="329"/>
        <w:gridCol w:w="125"/>
        <w:gridCol w:w="125"/>
        <w:gridCol w:w="125"/>
        <w:gridCol w:w="242"/>
        <w:gridCol w:w="865"/>
        <w:gridCol w:w="391"/>
      </w:tblGrid>
      <w:tr>
        <w:trPr/>
        <w:tc>
          <w:tcPr>
            <w:tcW w:w="119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Adjusted EBITDA</w:t>
            </w:r>
          </w:p>
        </w:tc>
        <w:tc>
          <w:tcPr>
            <w:tcW w:w="33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Nine Months Ended September 30,</w:t>
            </w:r>
          </w:p>
        </w:tc>
      </w:tr>
      <w:tr>
        <w:trPr/>
        <w:tc>
          <w:tcPr>
            <w:tcW w:w="3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5" w:type="dxa"/>
            <w:gridSpan w:val="21"/>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thousands, except margin data)</w:t>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income (loss)</w:t>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(7,569)</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1,437</w:t>
            </w: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(5,918)</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9,426</w:t>
            </w: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Non-GAAP adjustments:</w:t>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(income) expense, net</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(259)</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(810)</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688 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4,563 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 expense</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623 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494 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1,757 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1,281 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1,446 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2,186 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5,626 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6,408 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Other non-recurring expense</w:t>
            </w:r>
            <w:r>
              <w:rPr>
                <w:rFonts w:ascii="Arial;sans-serif" w:hAnsi="Arial;sans-serif"/>
                <w:b w:val="false"/>
                <w:color w:val="000000"/>
                <w:sz w:val="13"/>
              </w:rPr>
              <w:t>(1)</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11,000 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11,000 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adjustments</w:t>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13,122</w:t>
            </w:r>
            <w:r>
              <w:rPr>
                <w:color w:val="000000"/>
              </w:rPr>
              <w:t> </w:t>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3,109</w:t>
            </w:r>
            <w:r>
              <w:rPr>
                <w:color w:val="000000"/>
              </w:rPr>
              <w:t> </w:t>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18,723</w:t>
            </w:r>
            <w:r>
              <w:rPr>
                <w:color w:val="000000"/>
              </w:rPr>
              <w:t> </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11,442</w:t>
            </w:r>
            <w:r>
              <w:rPr>
                <w:color w:val="000000"/>
              </w:rPr>
              <w:t>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Adjusted EBITDA</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5,553</w:t>
            </w:r>
            <w:r>
              <w:rPr>
                <w:color w:val="000000"/>
              </w:rPr>
              <w:t> </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4,546</w:t>
            </w:r>
            <w:r>
              <w:rPr>
                <w:color w:val="000000"/>
              </w:rPr>
              <w:t> </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12,805</w:t>
            </w:r>
            <w:r>
              <w:rPr>
                <w:color w:val="000000"/>
              </w:rPr>
              <w:t>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20,868</w:t>
            </w:r>
            <w:r>
              <w:rPr>
                <w:color w:val="000000"/>
              </w:rPr>
              <w:t>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Adjusted EBITDA margin</w:t>
            </w:r>
          </w:p>
        </w:tc>
        <w:tc>
          <w:tcPr>
            <w:tcW w:w="11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23</w:t>
            </w:r>
          </w:p>
        </w:tc>
        <w:tc>
          <w:tcPr>
            <w:tcW w:w="3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19</w:t>
            </w:r>
          </w:p>
        </w:tc>
        <w:tc>
          <w:tcPr>
            <w:tcW w:w="3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17</w:t>
            </w:r>
          </w:p>
        </w:tc>
        <w:tc>
          <w:tcPr>
            <w:tcW w:w="32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26</w:t>
            </w:r>
          </w:p>
        </w:tc>
        <w:tc>
          <w:tcPr>
            <w:tcW w:w="3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r>
    </w:tbl>
    <w:p>
      <w:pPr>
        <w:pStyle w:val="TextBody"/>
        <w:bidi w:val="0"/>
        <w:spacing w:lineRule="auto" w:line="288" w:before="0" w:after="0"/>
        <w:jc w:val="both"/>
        <w:rPr/>
      </w:pPr>
      <w:r>
        <w:rPr>
          <w:rFonts w:ascii="Arial;sans-serif" w:hAnsi="Arial;sans-serif"/>
          <w:b w:val="false"/>
          <w:color w:val="000000"/>
          <w:sz w:val="12"/>
        </w:rPr>
        <w:t xml:space="preserve">(1) </w:t>
      </w:r>
      <w:r>
        <w:rPr>
          <w:rFonts w:ascii="Arial;sans-serif" w:hAnsi="Arial;sans-serif"/>
          <w:b w:val="false"/>
          <w:color w:val="000000"/>
          <w:sz w:val="18"/>
        </w:rPr>
        <w:t xml:space="preserve">For the three and nine months ended September 30, 2025, the adjustment for other non-recurring expense includes a one-time payment of $11.0 million made in connection with the Allied Amendment. See Note 9. </w:t>
      </w:r>
      <w:r>
        <w:rPr>
          <w:rFonts w:ascii="Arial;sans-serif" w:hAnsi="Arial;sans-serif"/>
          <w:b w:val="false"/>
          <w:i/>
          <w:color w:val="000000"/>
          <w:sz w:val="18"/>
        </w:rPr>
        <w:t xml:space="preserve">Commitments and Contingencies </w:t>
      </w:r>
      <w:r>
        <w:rPr>
          <w:rFonts w:ascii="Arial;sans-serif" w:hAnsi="Arial;sans-serif"/>
          <w:b w:val="false"/>
          <w:color w:val="000000"/>
          <w:sz w:val="18"/>
        </w:rPr>
        <w:t xml:space="preserve">in the Notes to Condensed Consolidated Financial Statements for additional information.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increase in Adjusted EBITDA during the three months ended September 30, 2025, as compared to the three months ended September 30, 2024, reflects an increase in profit share revenue due to a reduced negative change in estimate, as well as lower cost of services.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decrease in Adjusted EBITDA during the nine months ended September 30, 2025, as compared to the nine months ended September 30, 2024, reflects a reduction in revenue primarily due to lower certified loan volume and lower profit share unit economics.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288" w:before="120" w:after="283"/>
        <w:jc w:val="both"/>
        <w:rPr/>
      </w:pPr>
      <w:r>
        <w:rPr>
          <w:rFonts w:ascii="Arial;sans-serif" w:hAnsi="Arial;sans-serif"/>
          <w:b w:val="false"/>
          <w:color w:val="000000"/>
          <w:sz w:val="20"/>
        </w:rPr>
        <w:t>There have not been any material changes during the three and nine months ended September 30, 2025 to the methodology applied by management for critical accounting policies previously disclosed in our Annual Report. Please refer to “</w:t>
      </w:r>
      <w:r>
        <w:rPr>
          <w:rFonts w:ascii="Arial;sans-serif" w:hAnsi="Arial;sans-serif"/>
          <w:b w:val="false"/>
          <w:i/>
          <w:color w:val="000000"/>
          <w:sz w:val="20"/>
        </w:rPr>
        <w:t xml:space="preserve">Part II, Item 7. Management’s Discussion and Analysis of Financial Condition and Results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84150"/>
                <wp:effectExtent l="0" t="0" r="0" b="0"/>
                <wp:wrapNone/>
                <wp:docPr id="32" name="Frame31"/>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60" w:after="283"/>
        <w:jc w:val="both"/>
        <w:rPr/>
      </w:pPr>
      <w:hyperlink w:anchor="i6a3ffadfac5b43cb82c32b479edcc3ef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pPr>
      <w:r>
        <w:rPr>
          <w:rFonts w:ascii="Arial;sans-serif" w:hAnsi="Arial;sans-serif"/>
          <w:b w:val="false"/>
          <w:i/>
          <w:color w:val="000000"/>
          <w:sz w:val="20"/>
        </w:rPr>
        <w:t>Operations—Critical Accounting Policies and Estimates</w:t>
      </w:r>
      <w:r>
        <w:rPr>
          <w:color w:val="000000"/>
        </w:rPr>
        <w:t xml:space="preserve">” </w:t>
      </w:r>
      <w:r>
        <w:rPr>
          <w:rFonts w:ascii="Arial;sans-serif" w:hAnsi="Arial;sans-serif"/>
          <w:b w:val="false"/>
          <w:color w:val="000000"/>
          <w:sz w:val="20"/>
        </w:rPr>
        <w:t>in our Annual Report for further description of our critical accounting policies and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lineRule="auto" w:line="288" w:before="60" w:after="283"/>
        <w:jc w:val="both"/>
        <w:rPr/>
      </w:pPr>
      <w:r>
        <w:rPr>
          <w:rFonts w:ascii="Arial;sans-serif" w:hAnsi="Arial;sans-serif"/>
          <w:b w:val="false"/>
          <w:color w:val="000000"/>
          <w:sz w:val="20"/>
        </w:rPr>
        <w:t>Refer to Note 2—</w:t>
      </w:r>
      <w:r>
        <w:rPr>
          <w:rFonts w:ascii="Arial;sans-serif" w:hAnsi="Arial;sans-serif"/>
          <w:b w:val="false"/>
          <w:i/>
          <w:color w:val="000000"/>
          <w:sz w:val="20"/>
        </w:rPr>
        <w:t>Summary of Significant Accounting and Reporting Policies</w:t>
      </w:r>
      <w:r>
        <w:rPr>
          <w:color w:val="000000"/>
        </w:rPr>
        <w:t xml:space="preserve"> </w:t>
      </w:r>
      <w:r>
        <w:rPr>
          <w:rFonts w:ascii="Arial;sans-serif" w:hAnsi="Arial;sans-serif"/>
          <w:b w:val="false"/>
          <w:color w:val="000000"/>
          <w:sz w:val="20"/>
        </w:rPr>
        <w:t>to the accompanying unaudited condensed consolidated financial statements for our discussion about new accounting pronouncements adopted and those pending.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Contractual and Other Obligations</w:t>
      </w:r>
    </w:p>
    <w:p>
      <w:pPr>
        <w:pStyle w:val="TextBody"/>
        <w:bidi w:val="0"/>
        <w:spacing w:lineRule="auto" w:line="288" w:before="120" w:after="283"/>
        <w:jc w:val="both"/>
        <w:rPr/>
      </w:pPr>
      <w:r>
        <w:rPr>
          <w:rFonts w:ascii="Arial;sans-serif" w:hAnsi="Arial;sans-serif"/>
          <w:b w:val="false"/>
          <w:color w:val="000000"/>
          <w:sz w:val="20"/>
        </w:rPr>
        <w:t>We had no material changes in our contractual commitments and obligations during the three and nine months ended September 30, 2025 from the amounts listed under “</w:t>
      </w:r>
      <w:r>
        <w:rPr>
          <w:rFonts w:ascii="Arial;sans-serif" w:hAnsi="Arial;sans-serif"/>
          <w:b w:val="false"/>
          <w:i/>
          <w:color w:val="000000"/>
          <w:sz w:val="20"/>
        </w:rPr>
        <w:t>Part II, Item 7. Management’s Discussion and Analysis of Financial Condition and Results of Operations—Contractual Obligations</w:t>
      </w:r>
      <w:r>
        <w:rPr>
          <w:color w:val="000000"/>
        </w:rPr>
        <w:t xml:space="preserve">” </w:t>
      </w:r>
      <w:r>
        <w:rPr>
          <w:rFonts w:ascii="Arial;sans-serif" w:hAnsi="Arial;sans-serif"/>
          <w:b w:val="false"/>
          <w:color w:val="000000"/>
          <w:sz w:val="20"/>
        </w:rPr>
        <w:t>in our Annual Report.</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84150"/>
                <wp:effectExtent l="0" t="0" r="0" b="0"/>
                <wp:wrapNone/>
                <wp:docPr id="33" name="Frame32"/>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60" w:after="283"/>
        <w:jc w:val="both"/>
        <w:rPr/>
      </w:pPr>
      <w:hyperlink w:anchor="i6a3ffadfac5b43cb82c32b479edcc3ef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operations include activities in the U.S. These operations expose us to a variety of market risks, including the effects of changes in interest rates and changes in consumer attitudes toward financing a vehicle purchase. We monitor and manage these financial exposures as an integral part of our overall risk management program.</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Market Risk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the normal course of business, we are exposed to market risk and have established policies designed to protect against the adverse effects of this exposure. We are exposed to risks associated with general economic conditions and the impact of the economic environment on consumer spending levels, the willingness of consumers to enter into loans to finance purchases and consumers ability to afford financial obligations. Consumer spending and borrowing patterns related to auto purchases are influenced by economic factors such as unemployment rates, inflation, fluctuating interest rates, tariffs, changes in monetary and related policies, market volatility, a prolonged U.S. government shutdown, and overall consumer confidence. We also face risk from competition to acquire, maintain and develop new relationships with automotive lenders as well as competition from a wide variety of automotive lenders who are (or are affiliated) with financial institutions and have capacity to hold loans on their balance sheets.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Concentration Risk</w:t>
      </w:r>
    </w:p>
    <w:p>
      <w:pPr>
        <w:pStyle w:val="TextBody"/>
        <w:bidi w:val="0"/>
        <w:spacing w:lineRule="auto" w:line="288" w:before="120" w:after="283"/>
        <w:jc w:val="both"/>
        <w:rPr/>
      </w:pPr>
      <w:r>
        <w:rPr>
          <w:rFonts w:ascii="Arial;sans-serif" w:hAnsi="Arial;sans-serif"/>
          <w:b w:val="false"/>
          <w:color w:val="000000"/>
          <w:sz w:val="20"/>
        </w:rPr>
        <w:t>We rely on our three active insurance partners for a significant portion of our profit share and claims administration service fee revenue. Termination or disruption of these relationships could materially and adversely impact our revenue. See “</w:t>
      </w:r>
      <w:r>
        <w:rPr>
          <w:rFonts w:ascii="Arial;sans-serif" w:hAnsi="Arial;sans-serif"/>
          <w:b w:val="false"/>
          <w:i/>
          <w:color w:val="000000"/>
          <w:sz w:val="20"/>
        </w:rPr>
        <w:t>Item 1A—Risk Factors—Risks Related to Our Business—If we lose one or more of our insurance carriers and are unable to replace their commitments, it could have a material adverse effect on our business</w:t>
      </w:r>
      <w:r>
        <w:rPr>
          <w:color w:val="000000"/>
        </w:rPr>
        <w:t xml:space="preserve">” </w:t>
      </w:r>
      <w:r>
        <w:rPr>
          <w:rFonts w:ascii="Arial;sans-serif" w:hAnsi="Arial;sans-serif"/>
          <w:b w:val="false"/>
          <w:color w:val="000000"/>
          <w:sz w:val="20"/>
        </w:rPr>
        <w:t xml:space="preserve">in our Annual Report. </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Interest Rate Risk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earnings and cash flows are subject to fluctuations due to changes in interest rates on investment of available cash balances in money market funds and U.S. Treasury securities. Our Term loan due 2027 also exposes us to changes in short-term interest rates since interest rates on the underlying obligation are variable.</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As of September 30, 2025, we had outstanding amounts of $135.0 million under the Term Loan due 2027, which is scheduled to mature on September 9, 2027. There were no amounts outstanding under the Revolving Credit Facility as of September 30, 2025. Borrowings under the Credit Agreement bear interest at a rate equal to Adjusted SOFR plus a spread that is based upon our total net leverage ratio. The spread ranges from 1.625% to 2.375% per annum for Adjusted SOFR loans. We are also charged an unused commitment fee that ranges from 0.15% to 0.225% per annum on the average daily unused portion of the Revolving Credit Facility, which is paid quarterly in arrears and is based on our total net leverage ratio.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84150"/>
                <wp:effectExtent l="0" t="0" r="0" b="0"/>
                <wp:wrapNone/>
                <wp:docPr id="34" name="Frame33"/>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60" w:after="283"/>
        <w:jc w:val="both"/>
        <w:rPr/>
      </w:pPr>
      <w:hyperlink w:anchor="i6a3ffadfac5b43cb82c32b479edcc3ef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management, with the participation of our chief executive officer and chief financial officer,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 Management recognizes that any controls and procedures, regardless of how well they were designed and are operating, can provide only reasonable assurance of achieving their objectives and management necessarily applies its judgment in evaluating the cost-benefit relationship of possible controls and procedures. Based on the evaluation of our disclosure controls and procedures as of the end of the period covered by this Quarterly Report, our chief executive officer and chief financial officer concluded that, as of such date, our disclosure controls and procedures were effective at the reasonable assurance level.</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identified in connection with the evaluation required by Rule 13a-15(f) or 15d-15(f) of the Exchange Act during the period covered by this Quarterly Report,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84150"/>
                <wp:effectExtent l="0" t="0" r="0" b="0"/>
                <wp:wrapNone/>
                <wp:docPr id="35" name="Frame34"/>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60" w:after="283"/>
        <w:jc w:val="both"/>
        <w:rPr/>
      </w:pPr>
      <w:hyperlink w:anchor="i6a3ffadfac5b43cb82c32b479edcc3e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Except as described herein, as of the date of this Quarterly Report, we were not a party to any material legal proceedings. In the future, we may become party to legal matters and claims arising in the ordinary course of business, the resolution of which we do not anticipate would have a material adverse impact on our financial position, results of operations or cash flows.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Shareholder Class Action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In May 2025, a putative shareholder class action lawsuit was filed against the Company and our three former Chief Executive Officers in the U.S. District Court for the Western District of Texas. The class action was purportedly brought on behalf of persons who allegedly suffered damages as a result of alleged materially false and/or misleading statements and omissions about our business, operations, and prospects in violation of Sections 10(b) and 20(a) of the Exchange Act, and Rule 10b-5 promulgated thereunder. The complaint alleges that defendants: (1) misrepresented the capabilities of the Company’s risk-based pricing models; (2) issued materially misleading statements regarding the Company’s profit share revenue; (3) failed to disclose the Company’s 2021 and 2022 vintage loans had become worth significantly less than their corresponding outstanding loan balances; (4) misrepresented the underperformance of the Company’s 2023 and 2024 vintage loans; and (5) as a result of the foregoing, Defendants’ positive statements about the Company’s business, operations, and prospects were materially misleading and/or lacked a reasonable basis. Motions for appointment of lead plaintiff were due on June 30, 2025, and a lead plaintiff was appointed on July 17, 2025. On October 10, 2025, the lead plaintiff gave notice of voluntary dismissal of the lawsuit, and on October 16, 2025, the lawsuit was dismissed without prejudice.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This section supplements and updates certain of the information found under Part I, Item 1A. “Risk Factors” of our Annual Report, based on information currently known to us and recent developments since the date of our Annual Report filing. The matters discussed below should be read in conjunction with the risks described in Part I, Item 1A. “Risk Factors” of our Annual Report. However, the risks and uncertainties that we face are not limited to those described below and those set forth in our Annual Report. Additional risks and uncertainties not presently known to us or that we currently believe to be immaterial may also adversely affect our business, financial condition or future results.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Litigation, regulatory actions and compliance issues could subject us to significant fines, penalties, judgments, remediation costs and/or requirements resulting in increased expenses.</w:t>
      </w:r>
    </w:p>
    <w:p>
      <w:pPr>
        <w:pStyle w:val="TextBody"/>
        <w:bidi w:val="0"/>
        <w:spacing w:lineRule="auto" w:line="276" w:before="120" w:after="283"/>
        <w:jc w:val="both"/>
        <w:rPr>
          <w:rFonts w:ascii="Arial;sans-serif" w:hAnsi="Arial;sans-serif"/>
          <w:b w:val="false"/>
          <w:color w:val="000000"/>
          <w:sz w:val="20"/>
        </w:rPr>
      </w:pPr>
      <w:r>
        <w:rPr>
          <w:rFonts w:ascii="Arial;sans-serif" w:hAnsi="Arial;sans-serif"/>
          <w:b w:val="false"/>
          <w:color w:val="000000"/>
          <w:sz w:val="20"/>
        </w:rPr>
        <w:t>Our business is subject to increased risks of litigation and regulatory actions as a result of a number of factors and from various sources, including as a result of the highly regulated nature of the financial services industry, insurance carriers and the focus of state and federal enforcement agencies on the financial services industry and insurance carriers.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From time to time, we are also involved in, or the subject of, reviews, requests for information, investigations and proceedings (both formal and informal) by state and federal governmental agencies, including insurance regulators and the Department of Insurance of many states, regarding our business activities and our qualifications to conduct business in certain jurisdictions, which could subject us to significant fines, penalties, obligations to change business practices and other requirements resulting in increased expenses and diminished earnings. Our involvement in any such matter could also cause significant harm to our reputation and divert management attention from business operations, even if the matters are ultimately determined in our favor. Moreover, any settlement, or any consent order or adverse judgment in connection with any formal or informal proceeding or investigation by a government agency, may prompt litigation or additional investigations or proceedings as other litigants or other government agencies begin independent reviews of the same activities.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addition, a number of participants in the consumer finance industry have been the subject of punitive class action lawsuits. For example, in May 2025, a putative shareholder class action lawsuit was filed against the Company and its three former Chief Executive Officers in the U.S. District Court for the Western District of Texas. The class action was purportedly brought on behalf of persons who allegedly suffered damages as a result of alleged materially false and/or misleading statements and omissions about the Company’s business, operations, and prospects in violation of Sections 10(b) and 20(a) of the Exchange Act, and Rule 10b-5 promulgated thereunder. See Part II, Item 1, Legal Proceedings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84150"/>
                <wp:effectExtent l="0" t="0" r="0" b="0"/>
                <wp:wrapNone/>
                <wp:docPr id="36" name="Frame35"/>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60" w:after="283"/>
        <w:jc w:val="both"/>
        <w:rPr/>
      </w:pPr>
      <w:hyperlink w:anchor="i6a3ffadfac5b43cb82c32b479edcc3ef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Companies in the consumer finance industry have also been the subject of state attorney general actions and other state regulatory actions; federal regulatory enforcement actions, including actions relating to alleged unfair, deceptive or abusive acts or practices; violations of state licensing and lending laws, including state usury laws; actions alleging discrimination on the basis of race, ethnicity, gender or other prohibited bases; and allegations of noncompliance with various state and federal laws and regulations relating to originating and servicing consumer finance loans.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 Such securities litigation could also give rise to perceived uncertainties as to our future, adversely affect our relationships with our partners and make it more difficult to attract and retain qualified personnel. Further, our stock price could be subject to significant fluctuation or otherwise be adversely affected by the events, risks and uncertainties related to any securities litigation.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current regulatory environment, increased regulatory compliance efforts and enhanced regulatory enforcement have resulted in significant operational and compliance costs and may prevent us from providing certain products and services. There is no assurance that these regulatory matters or other factors will not, in the future, affect how we conduct business and, in turn, have a material adverse effect on our business. In particular, legal proceedings brought under state consumer protection statutes or under several of the various federal consumer financial services statutes may result in a separate fine for each violation of the statute, which, particularly in the case of class action lawsuits, could result in damages substantially in excess of the amounts we earned from the underlying activities. Similar risks exist for insurance producing and claims administration services, which are highly regulated.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addition, from time to time, through our operational and compliance controls, we identify compliance issues that require us to make operational changes and, depending on the nature of the issue, result in financial remediation to impacted customers. These self-identified issues and voluntary remediation payments could be significant, depending on the issue and the number of customers impacted, and also could generate litigation or regulatory investigations that subject us to additional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sets forth information with respect to our repurchases of shares of common stock during the three months ended September 30, 2025.</w:t>
      </w:r>
    </w:p>
    <w:tbl>
      <w:tblPr>
        <w:tblW w:w="10205" w:type="dxa"/>
        <w:jc w:val="left"/>
        <w:tblInd w:w="0" w:type="dxa"/>
        <w:tblLayout w:type="fixed"/>
        <w:tblCellMar>
          <w:top w:w="28" w:type="dxa"/>
          <w:left w:w="28" w:type="dxa"/>
          <w:bottom w:w="28" w:type="dxa"/>
          <w:right w:w="28" w:type="dxa"/>
        </w:tblCellMar>
      </w:tblPr>
      <w:tblGrid>
        <w:gridCol w:w="662"/>
        <w:gridCol w:w="303"/>
        <w:gridCol w:w="305"/>
        <w:gridCol w:w="109"/>
        <w:gridCol w:w="109"/>
        <w:gridCol w:w="109"/>
        <w:gridCol w:w="479"/>
        <w:gridCol w:w="479"/>
        <w:gridCol w:w="480"/>
        <w:gridCol w:w="109"/>
        <w:gridCol w:w="109"/>
        <w:gridCol w:w="109"/>
        <w:gridCol w:w="291"/>
        <w:gridCol w:w="746"/>
        <w:gridCol w:w="150"/>
        <w:gridCol w:w="109"/>
        <w:gridCol w:w="109"/>
        <w:gridCol w:w="109"/>
        <w:gridCol w:w="748"/>
        <w:gridCol w:w="748"/>
        <w:gridCol w:w="751"/>
        <w:gridCol w:w="109"/>
        <w:gridCol w:w="109"/>
        <w:gridCol w:w="109"/>
        <w:gridCol w:w="638"/>
        <w:gridCol w:w="1639"/>
        <w:gridCol w:w="478"/>
      </w:tblGrid>
      <w:tr>
        <w:trPr/>
        <w:tc>
          <w:tcPr>
            <w:tcW w:w="66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1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8"/>
              </w:rPr>
              <w:t xml:space="preserve">Total number of shares purchased </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8"/>
              </w:rPr>
              <w:t xml:space="preserve">Total number of shares purchased as part of publicly announced plans or programs </w:t>
            </w:r>
            <w:r>
              <w:rPr>
                <w:rFonts w:ascii="Arial;sans-serif" w:hAnsi="Arial;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8"/>
              </w:rPr>
              <w:t xml:space="preserve">Approximate dollar value of shares that may yet be purchased under the plans or programs (in millions) </w:t>
            </w:r>
            <w:r>
              <w:rPr>
                <w:rFonts w:ascii="Arial;sans-serif" w:hAnsi="Arial;sans-serif"/>
                <w:b/>
                <w:color w:val="000000"/>
                <w:sz w:val="12"/>
              </w:rPr>
              <w:t>(2)</w:t>
            </w:r>
          </w:p>
        </w:tc>
      </w:tr>
      <w:tr>
        <w:trPr/>
        <w:tc>
          <w:tcPr>
            <w:tcW w:w="12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July 1 - 31,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August 1 - 31,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6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September 1 - 30,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6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0" w:type="dxa"/>
            <w:gridSpan w:val="3"/>
            <w:tcBorders/>
            <w:vAlign w:val="center"/>
          </w:tcPr>
          <w:p>
            <w:pPr>
              <w:pStyle w:val="TableContents"/>
              <w:bidi w:val="0"/>
              <w:spacing w:before="0" w:after="283"/>
              <w:jc w:val="left"/>
              <w:rPr>
                <w:sz w:val="4"/>
                <w:szCs w:val="4"/>
              </w:rPr>
            </w:pPr>
            <w:r>
              <w:rPr>
                <w:sz w:val="4"/>
                <w:szCs w:val="4"/>
              </w:rPr>
            </w:r>
          </w:p>
        </w:tc>
        <w:tc>
          <w:tcPr>
            <w:tcW w:w="8935" w:type="dxa"/>
            <w:gridSpan w:val="24"/>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pPr>
      <w:r>
        <w:rPr>
          <w:rFonts w:ascii="Arial;sans-serif" w:hAnsi="Arial;sans-serif"/>
          <w:b w:val="false"/>
          <w:color w:val="000000"/>
          <w:sz w:val="12"/>
        </w:rPr>
        <w:t xml:space="preserve">(1) </w:t>
      </w:r>
      <w:r>
        <w:rPr>
          <w:rFonts w:ascii="Arial;sans-serif" w:hAnsi="Arial;sans-serif"/>
          <w:b w:val="false"/>
          <w:color w:val="000000"/>
          <w:sz w:val="18"/>
        </w:rPr>
        <w:t>Includes shares purchased from employees to satisfy their payroll tax withholding obligations related to share-based awards that vested during those months.</w:t>
      </w:r>
    </w:p>
    <w:p>
      <w:pPr>
        <w:pStyle w:val="TextBody"/>
        <w:bidi w:val="0"/>
        <w:spacing w:lineRule="auto" w:line="288" w:before="60" w:after="283"/>
        <w:jc w:val="both"/>
        <w:rPr/>
      </w:pPr>
      <w:r>
        <w:rPr>
          <w:rFonts w:ascii="Arial;sans-serif" w:hAnsi="Arial;sans-serif"/>
          <w:b w:val="false"/>
          <w:color w:val="000000"/>
          <w:sz w:val="12"/>
        </w:rPr>
        <w:t xml:space="preserve">(2) </w:t>
      </w:r>
      <w:r>
        <w:rPr>
          <w:rFonts w:ascii="Arial;sans-serif" w:hAnsi="Arial;sans-serif"/>
          <w:b w:val="false"/>
          <w:color w:val="000000"/>
          <w:sz w:val="18"/>
        </w:rPr>
        <w:t>On May 1, 2025, our Board of Directors authorized share repurchases under the Share Repurchase Program for up to $25.0 million, effective through May 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84150"/>
                <wp:effectExtent l="0" t="0" r="0" b="0"/>
                <wp:wrapNone/>
                <wp:docPr id="37" name="Frame36"/>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60" w:after="283"/>
        <w:jc w:val="both"/>
        <w:rPr/>
      </w:pPr>
      <w:hyperlink w:anchor="i6a3ffadfac5b43cb82c32b479edcc3ef_7">
        <w:r>
          <w:rPr>
            <w:rStyle w:val="InternetLink"/>
            <w:rFonts w:ascii="Arial;sans-serif" w:hAnsi="Arial;sans-serif"/>
            <w:b w:val="false"/>
            <w:color w:val="0000FF"/>
            <w:sz w:val="20"/>
            <w:u w:val="single"/>
          </w:rPr>
          <w:t>Table of Contents</w:t>
        </w:r>
      </w:hyperlink>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Insider Trading Arrangements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During the three months ended September 30, 2025, no director or officer of the Company adopted, modified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84150"/>
                <wp:effectExtent l="0" t="0" r="0" b="0"/>
                <wp:wrapNone/>
                <wp:docPr id="38" name="Frame37"/>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6a3ffadfac5b43cb82c32b479edcc3e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773"/>
        <w:gridCol w:w="2620"/>
        <w:gridCol w:w="3734"/>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373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
              <w:r>
                <w:rPr>
                  <w:rStyle w:val="InternetLink"/>
                  <w:rFonts w:ascii="Arial;sans-serif" w:hAnsi="Arial;sans-serif"/>
                  <w:b w:val="false"/>
                  <w:color w:val="0000FF"/>
                  <w:sz w:val="20"/>
                  <w:u w:val="single"/>
                </w:rPr>
                <w:t>Amended and Restated Certificate of Incorporation of Open Lending Corporation (incorporated by reference to Exhibit 3.1 to Open Lending Corporation’s Current Report on Form 8-K filed June 15, 2020).</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Arial;sans-serif" w:hAnsi="Arial;sans-serif"/>
                  <w:b w:val="false"/>
                  <w:color w:val="0000FF"/>
                  <w:sz w:val="20"/>
                  <w:u w:val="single"/>
                </w:rPr>
                <w:t>Amended and Restated Bylaws of Open Lending Corporation (incorporated by reference to Exhibit 3.2 to Open Lending Corporation’s Current Report on Form 8-K filed June 15, 2020).</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Arial;sans-serif" w:hAnsi="Arial;sans-serif"/>
                  <w:b w:val="false"/>
                  <w:color w:val="0000FF"/>
                  <w:sz w:val="20"/>
                  <w:u w:val="single"/>
                </w:rPr>
                <w:t>Employment Agreement by and between Open Lending Corporation and Massimo Monaco, dated July 21, 2025 (incorporated by reference to Exhibit 10.1 to Open Lending Corporation’s Current Report on Form 8-K filed July 24, 2025).</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Arial;sans-serif" w:hAnsi="Arial;sans-serif"/>
                  <w:b w:val="false"/>
                  <w:color w:val="000080"/>
                  <w:sz w:val="20"/>
                  <w:u w:val="single"/>
                </w:rPr>
                <w:t xml:space="preserve">Offer Letter by and between the Company and Ben Massey, dated October 6, 2025 </w:t>
              </w:r>
            </w:hyperlink>
            <w:hyperlink r:id="rId7">
              <w:r>
                <w:rPr>
                  <w:rStyle w:val="InternetLink"/>
                  <w:rFonts w:ascii="Arial;sans-serif" w:hAnsi="Arial;sans-serif"/>
                  <w:b w:val="false"/>
                  <w:color w:val="000080"/>
                  <w:sz w:val="20"/>
                  <w:u w:val="single"/>
                </w:rPr>
                <w:t>(incorporated by reference to Exhibit 10.1 to Open Lending Corporation</w:t>
              </w:r>
            </w:hyperlink>
            <w:hyperlink r:id="rId8">
              <w:r>
                <w:rPr>
                  <w:rStyle w:val="InternetLink"/>
                  <w:rFonts w:ascii="Arial;sans-serif" w:hAnsi="Arial;sans-serif"/>
                  <w:b w:val="false"/>
                  <w:color w:val="000080"/>
                  <w:sz w:val="20"/>
                  <w:u w:val="single"/>
                </w:rPr>
                <w:t>’</w:t>
              </w:r>
            </w:hyperlink>
            <w:hyperlink r:id="rId9">
              <w:r>
                <w:rPr>
                  <w:rStyle w:val="InternetLink"/>
                  <w:rFonts w:ascii="Arial;sans-serif" w:hAnsi="Arial;sans-serif"/>
                  <w:b w:val="false"/>
                  <w:color w:val="000080"/>
                  <w:sz w:val="20"/>
                  <w:u w:val="single"/>
                </w:rPr>
                <w:t>s Current Report on Form 8-K filed October 7, 2025).</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pro-20250930ex311.htm">
              <w:r>
                <w:rPr>
                  <w:rStyle w:val="InternetLink"/>
                  <w:rFonts w:ascii="Arial;sans-serif" w:hAnsi="Arial;sans-serif"/>
                  <w:b w:val="false"/>
                  <w:color w:val="000080"/>
                  <w:sz w:val="20"/>
                  <w:u w:val="single"/>
                </w:rPr>
                <w:t xml:space="preserve">Certification of the Chief Executive Officer </w:t>
              </w:r>
            </w:hyperlink>
            <w:hyperlink w:anchor="lpro-20250930ex311.htm">
              <w:r>
                <w:rPr>
                  <w:rStyle w:val="InternetLink"/>
                  <w:rFonts w:ascii="Arial;sans-serif" w:hAnsi="Arial;sans-serif"/>
                  <w:b w:val="false"/>
                  <w:color w:val="000080"/>
                  <w:sz w:val="20"/>
                  <w:u w:val="single"/>
                </w:rPr>
                <w:t>pursuant to Section 302 of the Sarbanes-Oxley Act of 2002.</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pro-20250930ex312.htm">
              <w:r>
                <w:rPr>
                  <w:rStyle w:val="InternetLink"/>
                  <w:rFonts w:ascii="Arial;sans-serif" w:hAnsi="Arial;sans-serif"/>
                  <w:b w:val="false"/>
                  <w:color w:val="000080"/>
                  <w:sz w:val="20"/>
                  <w:u w:val="single"/>
                </w:rPr>
                <w:t xml:space="preserve">Certification of the Chief </w:t>
              </w:r>
            </w:hyperlink>
            <w:hyperlink w:anchor="lpro-20250930ex312.htm">
              <w:r>
                <w:rPr>
                  <w:rStyle w:val="InternetLink"/>
                  <w:rFonts w:ascii="Arial;sans-serif" w:hAnsi="Arial;sans-serif"/>
                  <w:b w:val="false"/>
                  <w:color w:val="000080"/>
                  <w:sz w:val="20"/>
                  <w:u w:val="single"/>
                </w:rPr>
                <w:t>Financial</w:t>
              </w:r>
            </w:hyperlink>
            <w:hyperlink w:anchor="lpro-20250930ex312.htm">
              <w:r>
                <w:rPr>
                  <w:rStyle w:val="InternetLink"/>
                  <w:rFonts w:ascii="Arial;sans-serif" w:hAnsi="Arial;sans-serif"/>
                  <w:b w:val="false"/>
                  <w:color w:val="000080"/>
                  <w:sz w:val="20"/>
                  <w:u w:val="single"/>
                </w:rPr>
                <w:t xml:space="preserve"> Officer pursuant to Section 302 of the Sarbanes-Oxley Act of 2002.</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pro-20250930ex321.htm">
              <w:r>
                <w:rPr>
                  <w:rStyle w:val="InternetLink"/>
                  <w:rFonts w:ascii="Arial;sans-serif" w:hAnsi="Arial;sans-serif"/>
                  <w:b w:val="false"/>
                  <w:color w:val="000080"/>
                  <w:sz w:val="20"/>
                  <w:u w:val="single"/>
                </w:rPr>
                <w:t xml:space="preserve">Certification of the Chief </w:t>
              </w:r>
            </w:hyperlink>
            <w:hyperlink w:anchor="lpro-20250930ex321.htm">
              <w:r>
                <w:rPr>
                  <w:rStyle w:val="InternetLink"/>
                  <w:rFonts w:ascii="Arial;sans-serif" w:hAnsi="Arial;sans-serif"/>
                  <w:b w:val="false"/>
                  <w:color w:val="000080"/>
                  <w:sz w:val="20"/>
                  <w:u w:val="single"/>
                </w:rPr>
                <w:t>Executive</w:t>
              </w:r>
            </w:hyperlink>
            <w:hyperlink w:anchor="lpro-20250930ex321.htm">
              <w:r>
                <w:rPr>
                  <w:rStyle w:val="InternetLink"/>
                  <w:rFonts w:ascii="Arial;sans-serif" w:hAnsi="Arial;sans-serif"/>
                  <w:b w:val="false"/>
                  <w:color w:val="000080"/>
                  <w:sz w:val="20"/>
                  <w:u w:val="single"/>
                </w:rPr>
                <w:t xml:space="preserve"> Officer</w:t>
              </w:r>
            </w:hyperlink>
            <w:hyperlink w:anchor="lpro-20250930ex321.htm">
              <w:r>
                <w:rPr>
                  <w:rStyle w:val="InternetLink"/>
                  <w:rFonts w:ascii="Arial;sans-serif" w:hAnsi="Arial;sans-serif"/>
                  <w:b w:val="false"/>
                  <w:color w:val="000080"/>
                  <w:sz w:val="20"/>
                  <w:u w:val="single"/>
                </w:rPr>
                <w:t xml:space="preserve"> and the Chief Financial Officer </w:t>
              </w:r>
            </w:hyperlink>
            <w:hyperlink w:anchor="lpro-20250930ex321.htm">
              <w:r>
                <w:rPr>
                  <w:rStyle w:val="InternetLink"/>
                  <w:rFonts w:ascii="Arial;sans-serif" w:hAnsi="Arial;sans-serif"/>
                  <w:b w:val="false"/>
                  <w:color w:val="000080"/>
                  <w:sz w:val="20"/>
                  <w:u w:val="single"/>
                </w:rPr>
                <w:t>pursuant to Section 906 of the Sarbanes-Oxley Act of 2002 (18 U.S.C. § 1350).</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financial statements from Open Lending Corporation’s Quarterly Report on Form 10-Q for the quarterly period ended September 30, 2025, formatted in iXBRL (Inline eXtensible Business Reporting Language): </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 Condensed Consolidated Balance Sheets</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(ii) Condensed Consolidated Statement of Operations</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(iii) Condensed Consolidated Statements of Changes in Stockholders’ Equity</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(iv) Condensed Consolidated Statements of Cash Flows</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 Notes to Condensed Consolidated Financial Statements</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Filed herewith.</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Furnished herewith.</w:t>
            </w:r>
          </w:p>
        </w:tc>
      </w:tr>
    </w:tbl>
    <w:p>
      <w:pPr>
        <w:pStyle w:val="TextBody"/>
        <w:bidi w:val="0"/>
        <w:spacing w:before="60" w:after="283"/>
        <w:jc w:val="left"/>
        <w:rPr/>
      </w:pPr>
      <w:r>
        <w:rPr/>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60" w:after="283"/>
        <w:jc w:val="both"/>
        <w:rPr/>
      </w:pPr>
      <w:hyperlink w:anchor="i6a3ffadfac5b43cb82c32b479edcc3e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ind w:left="0" w:right="0" w:firstLine="54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4830" w:type="dxa"/>
        <w:jc w:val="left"/>
        <w:tblInd w:w="0" w:type="dxa"/>
        <w:tblLayout w:type="fixed"/>
        <w:tblCellMar>
          <w:top w:w="28" w:type="dxa"/>
          <w:left w:w="28" w:type="dxa"/>
          <w:bottom w:w="28" w:type="dxa"/>
          <w:right w:w="28" w:type="dxa"/>
        </w:tblCellMar>
      </w:tblPr>
      <w:tblGrid>
        <w:gridCol w:w="619"/>
        <w:gridCol w:w="544"/>
        <w:gridCol w:w="547"/>
        <w:gridCol w:w="914"/>
        <w:gridCol w:w="914"/>
        <w:gridCol w:w="1292"/>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OPEN LENDING CORPORATION</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3120"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3120"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3120"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3120"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Jessica Buss</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Jessica Buss</w:t>
            </w:r>
          </w:p>
        </w:tc>
      </w:tr>
      <w:tr>
        <w:trPr/>
        <w:tc>
          <w:tcPr>
            <w:tcW w:w="1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November 6, 2025</w:t>
            </w:r>
          </w:p>
        </w:tc>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Executive Officer</w:t>
              <w:br/>
              <w:t>(Principal Executive Officer)</w:t>
            </w:r>
          </w:p>
        </w:tc>
      </w:tr>
    </w:tbl>
    <w:tbl>
      <w:tblPr>
        <w:tblW w:w="5625" w:type="dxa"/>
        <w:jc w:val="left"/>
        <w:tblInd w:w="0" w:type="dxa"/>
        <w:tblLayout w:type="fixed"/>
        <w:tblCellMar>
          <w:top w:w="28" w:type="dxa"/>
          <w:left w:w="28" w:type="dxa"/>
          <w:bottom w:w="28" w:type="dxa"/>
          <w:right w:w="28" w:type="dxa"/>
        </w:tblCellMar>
      </w:tblPr>
      <w:tblGrid>
        <w:gridCol w:w="619"/>
        <w:gridCol w:w="544"/>
        <w:gridCol w:w="547"/>
        <w:gridCol w:w="1145"/>
        <w:gridCol w:w="1145"/>
        <w:gridCol w:w="1625"/>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3915"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3915"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3915"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3915"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Massimo Monaco</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Massimo Monaco</w:t>
            </w:r>
          </w:p>
        </w:tc>
      </w:tr>
      <w:tr>
        <w:trPr/>
        <w:tc>
          <w:tcPr>
            <w:tcW w:w="1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November 6, 2025</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Financial Officer</w:t>
              <w:b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84150"/>
                <wp:effectExtent l="0" t="0" r="0" b="0"/>
                <wp:wrapNone/>
                <wp:docPr id="40" name="Frame39"/>
                <a:graphic xmlns:a="http://schemas.openxmlformats.org/drawingml/2006/main">
                  <a:graphicData uri="http://schemas.microsoft.com/office/word/2010/wordprocessingShape">
                    <wps:wsp>
                      <wps:cNvSpPr txBox="1"/>
                      <wps:spPr>
                        <a:xfrm>
                          <a:off x="0" y="0"/>
                          <a:ext cx="6480175" cy="18415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 Jessica Buss, certify that: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Open Lending Corporation (the “Registrant”);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ind w:left="0" w:right="0" w:hanging="180"/>
        <w:jc w:val="left"/>
        <w:rPr/>
      </w:pPr>
      <w:r>
        <w:rPr/>
      </w:r>
    </w:p>
    <w:tbl>
      <w:tblPr>
        <w:tblW w:w="4829" w:type="dxa"/>
        <w:jc w:val="left"/>
        <w:tblInd w:w="0" w:type="dxa"/>
        <w:tblLayout w:type="fixed"/>
        <w:tblCellMar>
          <w:top w:w="28" w:type="dxa"/>
          <w:left w:w="28" w:type="dxa"/>
          <w:bottom w:w="28" w:type="dxa"/>
          <w:right w:w="28" w:type="dxa"/>
        </w:tblCellMar>
      </w:tblPr>
      <w:tblGrid>
        <w:gridCol w:w="808"/>
        <w:gridCol w:w="709"/>
        <w:gridCol w:w="717"/>
        <w:gridCol w:w="760"/>
        <w:gridCol w:w="760"/>
        <w:gridCol w:w="1075"/>
      </w:tblGrid>
      <w:tr>
        <w:trPr/>
        <w:tc>
          <w:tcPr>
            <w:tcW w:w="8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November 6, 2025</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Jessica Buss</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Jessica Buss</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br/>
              <w:t>(Principal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 Massimo Monaco, certify that: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Open Lending Corporation (the “Registrant”);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ind w:left="0" w:right="0" w:hanging="180"/>
        <w:jc w:val="left"/>
        <w:rPr/>
      </w:pPr>
      <w:r>
        <w:rPr/>
      </w:r>
    </w:p>
    <w:tbl>
      <w:tblPr>
        <w:tblW w:w="6149" w:type="dxa"/>
        <w:jc w:val="left"/>
        <w:tblInd w:w="0" w:type="dxa"/>
        <w:tblLayout w:type="fixed"/>
        <w:tblCellMar>
          <w:top w:w="28" w:type="dxa"/>
          <w:left w:w="28" w:type="dxa"/>
          <w:bottom w:w="28" w:type="dxa"/>
          <w:right w:w="28" w:type="dxa"/>
        </w:tblCellMar>
      </w:tblPr>
      <w:tblGrid>
        <w:gridCol w:w="808"/>
        <w:gridCol w:w="709"/>
        <w:gridCol w:w="717"/>
        <w:gridCol w:w="1145"/>
        <w:gridCol w:w="1145"/>
        <w:gridCol w:w="1625"/>
      </w:tblGrid>
      <w:tr>
        <w:trPr/>
        <w:tc>
          <w:tcPr>
            <w:tcW w:w="8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November 6, 2025</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Massimo Monaco</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Massimo Monaco</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br/>
              <w:t>(Principal Financial and Accounting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connection with the Quarterly Report on Form 10-Q for the quarter ended September 30, 2025 of Open Lending Corporation, a Delaware corporation (the “Company”), as filed with the Securities and Exchange Commission on the date hereof (the “Form 10-Q”), I, Jessica Buss, Chief Executive Officer of the Company, certify, pursuant to 18 U.S.C. section 1350, as adopted pursuant to section 906 of the Sarbanes-Oxley Act of 2002, that to the best of my knowledge:</w:t>
      </w:r>
    </w:p>
    <w:p>
      <w:pPr>
        <w:pStyle w:val="TextBody"/>
        <w:bidi w:val="0"/>
        <w:spacing w:lineRule="auto" w:line="288" w:before="120" w:after="283"/>
        <w:ind w:left="0" w:right="0" w:hanging="540"/>
        <w:jc w:val="left"/>
        <w:rPr>
          <w:rFonts w:ascii="Arial;sans-serif" w:hAnsi="Arial;sans-serif"/>
          <w:b w:val="false"/>
          <w:color w:val="000000"/>
          <w:sz w:val="20"/>
        </w:rPr>
      </w:pPr>
      <w:r>
        <w:rPr>
          <w:rFonts w:ascii="Arial;sans-serif" w:hAnsi="Arial;sans-serif"/>
          <w:b w:val="false"/>
          <w:color w:val="000000"/>
          <w:sz w:val="20"/>
        </w:rPr>
        <w:t>(i)the Form 10-Q fully complies with the requirements of section 13(a) or section 15(d) of the Securities Exchange Act of 1934, as amended; and</w:t>
      </w:r>
    </w:p>
    <w:p>
      <w:pPr>
        <w:pStyle w:val="TextBody"/>
        <w:bidi w:val="0"/>
        <w:spacing w:lineRule="auto" w:line="288" w:before="120" w:after="283"/>
        <w:ind w:left="0" w:right="0" w:hanging="540"/>
        <w:jc w:val="left"/>
        <w:rPr>
          <w:rFonts w:ascii="Arial;sans-serif" w:hAnsi="Arial;sans-serif"/>
          <w:b w:val="false"/>
          <w:color w:val="000000"/>
          <w:sz w:val="20"/>
        </w:rPr>
      </w:pPr>
      <w:r>
        <w:rPr>
          <w:rFonts w:ascii="Arial;sans-serif" w:hAnsi="Arial;sans-serif"/>
          <w:b w:val="false"/>
          <w:color w:val="000000"/>
          <w:sz w:val="20"/>
        </w:rPr>
        <w:t>(ii)the information contained in the Form 10-Q fairly presents, in all material respects, the financial condition and result of operations of the Company.</w:t>
      </w:r>
    </w:p>
    <w:tbl>
      <w:tblPr>
        <w:tblW w:w="2937" w:type="dxa"/>
        <w:jc w:val="left"/>
        <w:tblInd w:w="0" w:type="dxa"/>
        <w:tblLayout w:type="fixed"/>
        <w:tblCellMar>
          <w:top w:w="28" w:type="dxa"/>
          <w:left w:w="28" w:type="dxa"/>
          <w:bottom w:w="28" w:type="dxa"/>
          <w:right w:w="28" w:type="dxa"/>
        </w:tblCellMar>
      </w:tblPr>
      <w:tblGrid>
        <w:gridCol w:w="124"/>
        <w:gridCol w:w="109"/>
        <w:gridCol w:w="109"/>
        <w:gridCol w:w="760"/>
        <w:gridCol w:w="760"/>
        <w:gridCol w:w="1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Jessica Buss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Jessica Buss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b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November 6, 2025</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connection with the Quarterly Report on Form 10-Q for the quarter ended September 30, 2025 of Open Lending Corporation, a Delaware corporation (the “Company”), as filed with the Securities and Exchange Commission on the date hereof (the “Form 10-Q”), I, Massimo Monaco, Chief Financial Officer of the Company, certify, pursuant to 18 U.S.C. section 1350, as adopted pursuant to section 906 of the Sarbanes-Oxley Act of 2002, that to the best of my knowledge:</w:t>
      </w:r>
    </w:p>
    <w:p>
      <w:pPr>
        <w:pStyle w:val="TextBody"/>
        <w:bidi w:val="0"/>
        <w:spacing w:lineRule="auto" w:line="288" w:before="120" w:after="283"/>
        <w:ind w:left="0" w:right="0" w:hanging="540"/>
        <w:jc w:val="left"/>
        <w:rPr>
          <w:rFonts w:ascii="Arial;sans-serif" w:hAnsi="Arial;sans-serif"/>
          <w:b w:val="false"/>
          <w:color w:val="000000"/>
          <w:sz w:val="20"/>
        </w:rPr>
      </w:pPr>
      <w:r>
        <w:rPr>
          <w:rFonts w:ascii="Arial;sans-serif" w:hAnsi="Arial;sans-serif"/>
          <w:b w:val="false"/>
          <w:color w:val="000000"/>
          <w:sz w:val="20"/>
        </w:rPr>
        <w:t>(i)the Form 10-Q fully complies with the requirements of section 13(a) or section 15(d) of the Securities Exchange Act of 1934, as amended; and</w:t>
      </w:r>
    </w:p>
    <w:p>
      <w:pPr>
        <w:pStyle w:val="TextBody"/>
        <w:bidi w:val="0"/>
        <w:spacing w:lineRule="auto" w:line="288" w:before="120" w:after="283"/>
        <w:ind w:left="0" w:right="0" w:hanging="540"/>
        <w:jc w:val="left"/>
        <w:rPr>
          <w:rFonts w:ascii="Arial;sans-serif" w:hAnsi="Arial;sans-serif"/>
          <w:b w:val="false"/>
          <w:color w:val="000000"/>
          <w:sz w:val="20"/>
        </w:rPr>
      </w:pPr>
      <w:r>
        <w:rPr>
          <w:rFonts w:ascii="Arial;sans-serif" w:hAnsi="Arial;sans-serif"/>
          <w:b w:val="false"/>
          <w:color w:val="000000"/>
          <w:sz w:val="20"/>
        </w:rPr>
        <w:t>(ii)the information contained in the Form 10-Q fairly presents, in all material respects, the financial condition and result of operations of the Company.</w:t>
      </w:r>
    </w:p>
    <w:tbl>
      <w:tblPr>
        <w:tblW w:w="4257" w:type="dxa"/>
        <w:jc w:val="left"/>
        <w:tblInd w:w="0" w:type="dxa"/>
        <w:tblLayout w:type="fixed"/>
        <w:tblCellMar>
          <w:top w:w="28" w:type="dxa"/>
          <w:left w:w="28" w:type="dxa"/>
          <w:bottom w:w="28" w:type="dxa"/>
          <w:right w:w="28" w:type="dxa"/>
        </w:tblCellMar>
      </w:tblPr>
      <w:tblGrid>
        <w:gridCol w:w="124"/>
        <w:gridCol w:w="109"/>
        <w:gridCol w:w="109"/>
        <w:gridCol w:w="1145"/>
        <w:gridCol w:w="1145"/>
        <w:gridCol w:w="16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Massimo Monaco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Massimo Monaco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br/>
              <w:t>(Principal Financial and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November 6, 2025</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Proxima Nov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06201/000119312520169633/d941403dex31.htm" TargetMode="External"/><Relationship Id="rId4" Type="http://schemas.openxmlformats.org/officeDocument/2006/relationships/hyperlink" Target="https://www.sec.gov/Archives/edgar/data/1806201/000119312520169633/d941403dex32.htm" TargetMode="External"/><Relationship Id="rId5" Type="http://schemas.openxmlformats.org/officeDocument/2006/relationships/hyperlink" Target="https://www.sec.gov/Archives/edgar/data/1806201/000180620125000076/lpro-20250721ex101.htm" TargetMode="External"/><Relationship Id="rId6" Type="http://schemas.openxmlformats.org/officeDocument/2006/relationships/hyperlink" Target="https://www.sec.gov/Archives/edgar/data/1806201/000162828025044478/exhibit101.htm" TargetMode="External"/><Relationship Id="rId7" Type="http://schemas.openxmlformats.org/officeDocument/2006/relationships/hyperlink" Target="https://www.sec.gov/Archives/edgar/data/1806201/000162828025044478/exhibit101.htm" TargetMode="External"/><Relationship Id="rId8" Type="http://schemas.openxmlformats.org/officeDocument/2006/relationships/hyperlink" Target="https://www.sec.gov/Archives/edgar/data/1806201/000162828025044478/exhibit101.htm" TargetMode="External"/><Relationship Id="rId9" Type="http://schemas.openxmlformats.org/officeDocument/2006/relationships/hyperlink" Target="https://www.sec.gov/Archives/edgar/data/1806201/000162828025044478/exhibit10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17217</Words>
  <Characters>96779</Characters>
  <CharactersWithSpaces>112640</CharactersWithSpaces>
  <Paragraphs>2236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