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6"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137160</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OPEN LENDING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620" w:type="dxa"/>
        <w:tblCellMar>
          <w:top w:w="0" w:type="dxa"/>
          <w:left w:w="0" w:type="dxa"/>
          <w:bottom w:w="0" w:type="dxa"/>
          <w:right w:w="0" w:type="dxa"/>
        </w:tblCellMar>
      </w:tblPr>
      <w:tr>
        <w:trPr>
          <w:trHeight w:val="225"/>
        </w:trPr>
        <w:tc>
          <w:tcPr>
            <w:tcW w:w="4260" w:type="dxa"/>
            <w:vAlign w:val="bottom"/>
          </w:tcPr>
          <w:p>
            <w:pPr>
              <w:jc w:val="center"/>
              <w:ind w:right="1818"/>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1821"/>
              <w:spacing w:after="0"/>
              <w:rPr>
                <w:sz w:val="20"/>
                <w:szCs w:val="20"/>
                <w:color w:val="auto"/>
              </w:rPr>
            </w:pPr>
            <w:r>
              <w:rPr>
                <w:rFonts w:ascii="Arial" w:cs="Arial" w:eastAsia="Arial" w:hAnsi="Arial"/>
                <w:sz w:val="18"/>
                <w:szCs w:val="18"/>
                <w:b w:val="1"/>
                <w:bCs w:val="1"/>
                <w:color w:val="auto"/>
                <w:w w:val="94"/>
              </w:rPr>
              <w:t>EIN 84-5031428</w:t>
            </w:r>
          </w:p>
        </w:tc>
        <w:tc>
          <w:tcPr>
            <w:tcW w:w="0" w:type="dxa"/>
            <w:vAlign w:val="bottom"/>
          </w:tcPr>
          <w:p>
            <w:pPr>
              <w:spacing w:after="0"/>
              <w:rPr>
                <w:sz w:val="1"/>
                <w:szCs w:val="1"/>
                <w:color w:val="auto"/>
              </w:rPr>
            </w:pPr>
          </w:p>
        </w:tc>
      </w:tr>
      <w:tr>
        <w:trPr>
          <w:trHeight w:val="144"/>
        </w:trPr>
        <w:tc>
          <w:tcPr>
            <w:tcW w:w="4260" w:type="dxa"/>
            <w:vAlign w:val="bottom"/>
          </w:tcPr>
          <w:p>
            <w:pPr>
              <w:jc w:val="center"/>
              <w:ind w:right="1818"/>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821"/>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260" w:type="dxa"/>
            <w:vAlign w:val="bottom"/>
          </w:tcPr>
          <w:p>
            <w:pPr>
              <w:jc w:val="center"/>
              <w:ind w:right="1818"/>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40"/>
        </w:trPr>
        <w:tc>
          <w:tcPr>
            <w:tcW w:w="4260" w:type="dxa"/>
            <w:vAlign w:val="bottom"/>
          </w:tcPr>
          <w:p>
            <w:pPr>
              <w:jc w:val="center"/>
              <w:ind w:right="1798"/>
              <w:spacing w:after="0"/>
              <w:rPr>
                <w:sz w:val="20"/>
                <w:szCs w:val="20"/>
                <w:color w:val="auto"/>
              </w:rPr>
            </w:pPr>
            <w:r>
              <w:rPr>
                <w:rFonts w:ascii="Arial" w:cs="Arial" w:eastAsia="Arial" w:hAnsi="Arial"/>
                <w:sz w:val="18"/>
                <w:szCs w:val="18"/>
                <w:b w:val="1"/>
                <w:bCs w:val="1"/>
                <w:color w:val="auto"/>
                <w:w w:val="89"/>
              </w:rPr>
              <w:t>1501 S. MoPac Expressway</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60" w:type="dxa"/>
            <w:vAlign w:val="bottom"/>
          </w:tcPr>
          <w:p>
            <w:pPr>
              <w:jc w:val="center"/>
              <w:ind w:right="1798"/>
              <w:spacing w:after="0" w:line="176" w:lineRule="exact"/>
              <w:rPr>
                <w:sz w:val="20"/>
                <w:szCs w:val="20"/>
                <w:color w:val="auto"/>
              </w:rPr>
            </w:pPr>
            <w:r>
              <w:rPr>
                <w:rFonts w:ascii="Arial" w:cs="Arial" w:eastAsia="Arial" w:hAnsi="Arial"/>
                <w:sz w:val="18"/>
                <w:szCs w:val="18"/>
                <w:b w:val="1"/>
                <w:bCs w:val="1"/>
                <w:color w:val="auto"/>
                <w:w w:val="88"/>
              </w:rPr>
              <w:t>Suite 450</w:t>
            </w:r>
          </w:p>
        </w:tc>
        <w:tc>
          <w:tcPr>
            <w:tcW w:w="3140" w:type="dxa"/>
            <w:vAlign w:val="bottom"/>
            <w:vMerge w:val="restart"/>
          </w:tcPr>
          <w:p>
            <w:pPr>
              <w:jc w:val="center"/>
              <w:ind w:left="1821"/>
              <w:spacing w:after="0"/>
              <w:rPr>
                <w:sz w:val="20"/>
                <w:szCs w:val="20"/>
                <w:color w:val="auto"/>
              </w:rPr>
            </w:pPr>
            <w:r>
              <w:rPr>
                <w:rFonts w:ascii="Arial" w:cs="Arial" w:eastAsia="Arial" w:hAnsi="Arial"/>
                <w:sz w:val="18"/>
                <w:szCs w:val="18"/>
                <w:b w:val="1"/>
                <w:bCs w:val="1"/>
                <w:color w:val="auto"/>
                <w:w w:val="87"/>
              </w:rPr>
              <w:t>78746</w:t>
            </w:r>
          </w:p>
        </w:tc>
        <w:tc>
          <w:tcPr>
            <w:tcW w:w="0" w:type="dxa"/>
            <w:vAlign w:val="bottom"/>
          </w:tcPr>
          <w:p>
            <w:pPr>
              <w:spacing w:after="0"/>
              <w:rPr>
                <w:sz w:val="1"/>
                <w:szCs w:val="1"/>
                <w:color w:val="auto"/>
              </w:rPr>
            </w:pPr>
          </w:p>
        </w:tc>
      </w:tr>
      <w:tr>
        <w:trPr>
          <w:trHeight w:val="220"/>
        </w:trPr>
        <w:tc>
          <w:tcPr>
            <w:tcW w:w="4260" w:type="dxa"/>
            <w:vAlign w:val="bottom"/>
          </w:tcPr>
          <w:p>
            <w:pPr>
              <w:jc w:val="center"/>
              <w:ind w:right="1818"/>
              <w:spacing w:after="0"/>
              <w:rPr>
                <w:sz w:val="20"/>
                <w:szCs w:val="20"/>
                <w:color w:val="auto"/>
              </w:rPr>
            </w:pPr>
            <w:r>
              <w:rPr>
                <w:rFonts w:ascii="Arial" w:cs="Arial" w:eastAsia="Arial" w:hAnsi="Arial"/>
                <w:sz w:val="18"/>
                <w:szCs w:val="18"/>
                <w:b w:val="1"/>
                <w:bCs w:val="1"/>
                <w:color w:val="auto"/>
                <w:w w:val="88"/>
              </w:rPr>
              <w:t>Austin, Texas</w:t>
            </w:r>
          </w:p>
        </w:tc>
        <w:tc>
          <w:tcPr>
            <w:tcW w:w="3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260" w:type="dxa"/>
            <w:vAlign w:val="bottom"/>
          </w:tcPr>
          <w:p>
            <w:pPr>
              <w:jc w:val="center"/>
              <w:ind w:right="17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4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251"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left="500"/>
        <w:spacing w:after="0" w:line="207" w:lineRule="exact"/>
        <w:tabs>
          <w:tab w:leader="none" w:pos="882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240"/>
          </w:cols>
          <w:pgMar w:left="320" w:top="131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May 11, 2021, the registrant had 126,190,351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1088390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123825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149225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01"/>
        </w:trPr>
        <w:tc>
          <w:tcPr>
            <w:tcW w:w="20" w:type="dxa"/>
            <w:vAlign w:val="bottom"/>
          </w:tcPr>
          <w:p>
            <w:pPr>
              <w:spacing w:after="0"/>
              <w:rPr>
                <w:sz w:val="17"/>
                <w:szCs w:val="17"/>
                <w:color w:val="auto"/>
              </w:rPr>
            </w:pPr>
          </w:p>
        </w:tc>
        <w:tc>
          <w:tcPr>
            <w:tcW w:w="1540" w:type="dxa"/>
            <w:vAlign w:val="bottom"/>
            <w:gridSpan w:val="2"/>
          </w:tcPr>
          <w:p>
            <w:pPr>
              <w:spacing w:after="0" w:line="201"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440" w:type="dxa"/>
            <w:vAlign w:val="bottom"/>
            <w:gridSpan w:val="16"/>
          </w:tcPr>
          <w:p>
            <w:pPr>
              <w:spacing w:after="0" w:line="201"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3240" w:type="dxa"/>
            <w:vAlign w:val="bottom"/>
          </w:tcPr>
          <w:p>
            <w:pPr>
              <w:jc w:val="right"/>
              <w:spacing w:after="0" w:line="201"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64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 (Unaudited)</w:t>
              </w:r>
            </w:hyperlink>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40" w:type="dxa"/>
            <w:vAlign w:val="bottom"/>
            <w:tcBorders>
              <w:top w:val="single" w:sz="8" w:color="0000FF"/>
            </w:tcBorders>
            <w:gridSpan w:val="1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2200" w:type="dxa"/>
            <w:vAlign w:val="bottom"/>
            <w:gridSpan w:val="5"/>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72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Operations and Comprehensive Income</w:t>
              </w:r>
            </w:hyperlink>
          </w:p>
        </w:tc>
        <w:tc>
          <w:tcPr>
            <w:tcW w:w="720" w:type="dxa"/>
            <w:vAlign w:val="bottom"/>
            <w:gridSpan w:val="2"/>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9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 xml:space="preserve">Condensed Consolidated Statements of Changes in Stockholders’ Equity </w:t>
              </w:r>
            </w:hyperlink>
            <w:r>
              <w:rPr>
                <w:rFonts w:ascii="Arial" w:cs="Arial" w:eastAsia="Arial" w:hAnsi="Arial"/>
                <w:sz w:val="18"/>
                <w:szCs w:val="18"/>
                <w:color w:val="0000FF"/>
                <w:w w:val="90"/>
              </w:rPr>
              <w:t>(Deficit)</w:t>
            </w:r>
          </w:p>
        </w:tc>
        <w:tc>
          <w:tcPr>
            <w:tcW w:w="540" w:type="dxa"/>
            <w:vAlign w:val="bottom"/>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32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32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21">
              <w:r>
                <w:rPr>
                  <w:rFonts w:ascii="Arial" w:cs="Arial" w:eastAsia="Arial" w:hAnsi="Arial"/>
                  <w:sz w:val="18"/>
                  <w:szCs w:val="18"/>
                  <w:color w:val="auto"/>
                </w:rPr>
                <w:t>Item 2.</w:t>
              </w:r>
            </w:hyperlink>
          </w:p>
        </w:tc>
        <w:tc>
          <w:tcPr>
            <w:tcW w:w="64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324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430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Quantitative and Qualitative Disclosures about Market Risk</w:t>
              </w:r>
            </w:hyperlink>
          </w:p>
        </w:tc>
        <w:tc>
          <w:tcPr>
            <w:tcW w:w="2140" w:type="dxa"/>
            <w:vAlign w:val="bottom"/>
            <w:gridSpan w:val="4"/>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6440" w:type="dxa"/>
            <w:vAlign w:val="bottom"/>
            <w:gridSpan w:val="1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32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w:t>
              </w:r>
            </w:hyperlink>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2"/>
          </w:tcPr>
          <w:p>
            <w:pPr>
              <w:spacing w:after="0"/>
              <w:rPr>
                <w:sz w:val="22"/>
                <w:szCs w:val="22"/>
                <w:color w:val="auto"/>
              </w:rPr>
            </w:pPr>
          </w:p>
        </w:tc>
        <w:tc>
          <w:tcPr>
            <w:tcW w:w="4680" w:type="dxa"/>
            <w:vAlign w:val="bottom"/>
            <w:gridSpan w:val="10"/>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w:t>
              </w:r>
            </w:hyperlink>
          </w:p>
        </w:tc>
        <w:tc>
          <w:tcPr>
            <w:tcW w:w="644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2"/>
                <w:szCs w:val="22"/>
                <w:color w:val="auto"/>
              </w:rPr>
            </w:pPr>
          </w:p>
        </w:tc>
        <w:tc>
          <w:tcPr>
            <w:tcW w:w="5120" w:type="dxa"/>
            <w:vAlign w:val="bottom"/>
            <w:gridSpan w:val="12"/>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2.</w:t>
              </w:r>
            </w:hyperlink>
          </w:p>
        </w:tc>
        <w:tc>
          <w:tcPr>
            <w:tcW w:w="43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Unregistered Sales of Equity Securities and Use of Proceeds</w:t>
              </w:r>
            </w:hyperlink>
          </w:p>
        </w:tc>
        <w:tc>
          <w:tcPr>
            <w:tcW w:w="2100" w:type="dxa"/>
            <w:vAlign w:val="bottom"/>
            <w:gridSpan w:val="3"/>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3.</w:t>
              </w:r>
            </w:hyperlink>
          </w:p>
        </w:tc>
        <w:tc>
          <w:tcPr>
            <w:tcW w:w="644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 Upon Senior Securities</w:t>
              </w:r>
            </w:hyperlink>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4.</w:t>
              </w:r>
            </w:hyperlink>
          </w:p>
        </w:tc>
        <w:tc>
          <w:tcPr>
            <w:tcW w:w="2240" w:type="dxa"/>
            <w:vAlign w:val="bottom"/>
            <w:tcBorders>
              <w:top w:val="single" w:sz="8" w:color="0000FF"/>
            </w:tcBorders>
            <w:gridSpan w:val="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4200" w:type="dxa"/>
            <w:vAlign w:val="bottom"/>
            <w:gridSpan w:val="9"/>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5.</w:t>
              </w:r>
            </w:hyperlink>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4680" w:type="dxa"/>
            <w:vAlign w:val="bottom"/>
            <w:gridSpan w:val="10"/>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6.</w:t>
              </w:r>
            </w:hyperlink>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5140" w:type="dxa"/>
            <w:vAlign w:val="bottom"/>
            <w:gridSpan w:val="13"/>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1270"/>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2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rPr>
              <w:t>OPEN LENDING CORPORATION</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w w:val="89"/>
              </w:rPr>
              <w:t>(Unaudited, in thousands, except share data)</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101,513</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Current contract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50,386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162,777</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Non-current contract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38,956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294,009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17,008</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Long-term debt, net of deferred financing costs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152,859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92,382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267,387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Commitment and contingencies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Common stock, $0.01 par value; 550,000,000 shares authorized, 128,198,185 shares issued and 126,803,096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as of March 31, 2021 and December 31, 2020, respectively</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491,246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(428,406)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Treasury stock at cost, 1,395,089 shares at March 31, 2021 and December 31, 2020, respectively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26,622</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326,795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294,009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00"/>
              <w:spacing w:after="0"/>
              <w:rPr>
                <w:sz w:val="20"/>
                <w:szCs w:val="20"/>
                <w:color w:val="auto"/>
              </w:rPr>
            </w:pPr>
            <w:r>
              <w:rPr>
                <w:rFonts w:ascii="Arial" w:cs="Arial" w:eastAsia="Arial" w:hAnsi="Arial"/>
                <w:sz w:val="18"/>
                <w:szCs w:val="18"/>
                <w:color w:val="auto"/>
              </w:rPr>
              <w:t>Program fees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14,911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12,712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Profit share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Claims administration service fees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17,430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14,935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30"/>
        </w:trPr>
        <w:tc>
          <w:tcPr>
            <w:tcW w:w="7840" w:type="dxa"/>
            <w:vAlign w:val="bottom"/>
          </w:tcPr>
          <w:p>
            <w:pPr>
              <w:ind w:left="30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29,446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8,929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7840" w:type="dxa"/>
            <w:vAlign w:val="bottom"/>
          </w:tcPr>
          <w:p>
            <w:pPr>
              <w:ind w:left="3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8,183</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and 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vMerge w:val="restart"/>
          </w:tcPr>
          <w:p>
            <w:pPr>
              <w:ind w:left="360"/>
              <w:spacing w:after="0"/>
              <w:rPr>
                <w:sz w:val="20"/>
                <w:szCs w:val="20"/>
                <w:color w:val="auto"/>
              </w:rPr>
            </w:pPr>
            <w:r>
              <w:rPr>
                <w:rFonts w:ascii="Arial" w:cs="Arial" w:eastAsia="Arial" w:hAnsi="Arial"/>
                <w:sz w:val="18"/>
                <w:szCs w:val="18"/>
                <w:color w:val="auto"/>
              </w:rPr>
              <w:t>Preferred distribution to redeemable convertible Series C preferred units</w:t>
            </w:r>
          </w:p>
        </w:tc>
        <w:tc>
          <w:tcPr>
            <w:tcW w:w="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tcBorders>
              <w:top w:val="single" w:sz="8" w:color="CCEEFF"/>
            </w:tcBorders>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(40,475)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to redemption value of redeemable convertible Series C preferred units</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47,537</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15,234</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 and comprehensive income per common share</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126,803,096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37,631,052</w:t>
            </w:r>
          </w:p>
        </w:tc>
        <w:tc>
          <w:tcPr>
            <w:tcW w:w="0" w:type="dxa"/>
            <w:vAlign w:val="bottom"/>
          </w:tcPr>
          <w:p>
            <w:pPr>
              <w:spacing w:after="0"/>
              <w:rPr>
                <w:sz w:val="1"/>
                <w:szCs w:val="1"/>
                <w:color w:val="auto"/>
              </w:rPr>
            </w:pPr>
          </w:p>
        </w:tc>
      </w:tr>
      <w:tr>
        <w:trPr>
          <w:trHeight w:val="230"/>
        </w:trPr>
        <w:tc>
          <w:tcPr>
            <w:tcW w:w="78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126,837,832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51,909,655</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80" w:type="dxa"/>
            <w:vAlign w:val="bottom"/>
            <w:tcBorders>
              <w:left w:val="single" w:sz="8" w:color="auto"/>
            </w:tcBorders>
          </w:tcPr>
          <w:p>
            <w:pPr>
              <w:spacing w:after="0"/>
              <w:rPr>
                <w:sz w:val="17"/>
                <w:szCs w:val="17"/>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2"/>
              </w:rPr>
              <w:t>Common Units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5"/>
          </w:tcPr>
          <w:p>
            <w:pPr>
              <w:ind w:left="260"/>
              <w:spacing w:after="0"/>
              <w:rPr>
                <w:sz w:val="20"/>
                <w:szCs w:val="20"/>
                <w:color w:val="auto"/>
              </w:rPr>
            </w:pPr>
            <w:r>
              <w:rPr>
                <w:rFonts w:ascii="Arial" w:cs="Arial" w:eastAsia="Arial" w:hAnsi="Arial"/>
                <w:sz w:val="14"/>
                <w:szCs w:val="14"/>
                <w:b w:val="1"/>
                <w:bCs w:val="1"/>
                <w:color w:val="auto"/>
              </w:rPr>
              <w:t>Series A and B</w:t>
            </w:r>
          </w:p>
        </w:tc>
        <w:tc>
          <w:tcPr>
            <w:tcW w:w="152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52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420" w:type="dxa"/>
            <w:vAlign w:val="bottom"/>
            <w:gridSpan w:val="4"/>
          </w:tcPr>
          <w:p>
            <w:pPr>
              <w:jc w:val="center"/>
              <w:spacing w:after="0" w:line="68" w:lineRule="exact"/>
              <w:rPr>
                <w:sz w:val="20"/>
                <w:szCs w:val="20"/>
                <w:color w:val="auto"/>
              </w:rPr>
            </w:pPr>
            <w:r>
              <w:rPr>
                <w:rFonts w:ascii="Arial" w:cs="Arial" w:eastAsia="Arial" w:hAnsi="Arial"/>
                <w:sz w:val="7"/>
                <w:szCs w:val="7"/>
                <w:b w:val="1"/>
                <w:bCs w:val="1"/>
                <w:color w:val="auto"/>
              </w:rPr>
              <w:t>Convertible Series C</w:t>
            </w:r>
          </w:p>
        </w:tc>
        <w:tc>
          <w:tcPr>
            <w:tcW w:w="80" w:type="dxa"/>
            <w:vAlign w:val="bottom"/>
            <w:tcBorders>
              <w:left w:val="single" w:sz="8" w:color="auto"/>
            </w:tcBorders>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Preferred Units</w:t>
            </w:r>
          </w:p>
        </w:tc>
        <w:tc>
          <w:tcPr>
            <w:tcW w:w="152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tcPr>
          <w:p>
            <w:pPr>
              <w:ind w:left="20"/>
              <w:spacing w:after="0" w:line="68" w:lineRule="exact"/>
              <w:rPr>
                <w:sz w:val="20"/>
                <w:szCs w:val="20"/>
                <w:color w:val="auto"/>
              </w:rPr>
            </w:pPr>
            <w:r>
              <w:rPr>
                <w:rFonts w:ascii="Arial" w:cs="Arial" w:eastAsia="Arial" w:hAnsi="Arial"/>
                <w:sz w:val="7"/>
                <w:szCs w:val="7"/>
                <w:b w:val="1"/>
                <w:bCs w:val="1"/>
                <w:color w:val="auto"/>
              </w:rPr>
              <w:t>Paid-in</w:t>
            </w:r>
          </w:p>
        </w:tc>
        <w:tc>
          <w:tcPr>
            <w:tcW w:w="140" w:type="dxa"/>
            <w:vAlign w:val="bottom"/>
          </w:tcPr>
          <w:p>
            <w:pPr>
              <w:spacing w:after="0"/>
              <w:rPr>
                <w:sz w:val="5"/>
                <w:szCs w:val="5"/>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520" w:type="dxa"/>
            <w:vAlign w:val="bottom"/>
            <w:gridSpan w:val="5"/>
            <w:vMerge w:val="continue"/>
          </w:tcPr>
          <w:p>
            <w:pPr>
              <w:spacing w:after="0"/>
              <w:rPr>
                <w:sz w:val="5"/>
                <w:szCs w:val="5"/>
                <w:color w:val="auto"/>
              </w:rPr>
            </w:pPr>
          </w:p>
        </w:tc>
        <w:tc>
          <w:tcPr>
            <w:tcW w:w="900" w:type="dxa"/>
            <w:vAlign w:val="bottom"/>
            <w:gridSpan w:val="2"/>
          </w:tcPr>
          <w:p>
            <w:pPr>
              <w:ind w:left="40"/>
              <w:spacing w:after="0" w:line="68"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14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Preferred Units</w:t>
            </w:r>
          </w:p>
        </w:tc>
        <w:tc>
          <w:tcPr>
            <w:tcW w:w="80" w:type="dxa"/>
            <w:vAlign w:val="bottom"/>
            <w:tcBorders>
              <w:lef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9"/>
        </w:trPr>
        <w:tc>
          <w:tcPr>
            <w:tcW w:w="104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0" w:type="dxa"/>
            <w:vAlign w:val="bottom"/>
            <w:tcBorders>
              <w:lef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8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rPr>
              <w:t>Units</w:t>
            </w:r>
          </w:p>
        </w:tc>
        <w:tc>
          <w:tcPr>
            <w:tcW w:w="62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Amount</w:t>
            </w:r>
          </w:p>
        </w:tc>
        <w:tc>
          <w:tcPr>
            <w:tcW w:w="80" w:type="dxa"/>
            <w:vAlign w:val="bottom"/>
            <w:tcBorders>
              <w:left w:val="single" w:sz="8" w:color="auto"/>
            </w:tcBorders>
          </w:tcPr>
          <w:p>
            <w:pPr>
              <w:spacing w:after="0"/>
              <w:rPr>
                <w:sz w:val="15"/>
                <w:szCs w:val="15"/>
                <w:color w:val="auto"/>
              </w:rPr>
            </w:pPr>
          </w:p>
        </w:tc>
        <w:tc>
          <w:tcPr>
            <w:tcW w:w="86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color w:val="auto"/>
              </w:rPr>
              <w:t>Units</w:t>
            </w:r>
          </w:p>
        </w:tc>
        <w:tc>
          <w:tcPr>
            <w:tcW w:w="5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8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auto"/>
              </w:rPr>
              <w:t>Units</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8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rPr>
              <w:t>Shares</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8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18"/>
        </w:trPr>
        <w:tc>
          <w:tcPr>
            <w:tcW w:w="10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as of</w:t>
            </w: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left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9"/>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128,198,185</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1,282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98"/>
              </w:rPr>
              <w:t>491,246</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(428,406)</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(1,395,089)</w:t>
            </w: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95"/>
              </w:rPr>
              <w:t>(37,500)</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26,622</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80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4"/>
                <w:szCs w:val="14"/>
                <w:color w:val="auto"/>
              </w:rPr>
              <w:t>Share-based</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86"/>
        </w:trPr>
        <w:tc>
          <w:tcPr>
            <w:tcW w:w="104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0" w:type="dxa"/>
            <w:vAlign w:val="bottom"/>
          </w:tcPr>
          <w:p>
            <w:pPr>
              <w:spacing w:after="0"/>
              <w:rPr>
                <w:sz w:val="1"/>
                <w:szCs w:val="1"/>
                <w:color w:val="auto"/>
              </w:rPr>
            </w:pPr>
          </w:p>
        </w:tc>
      </w:tr>
      <w:tr>
        <w:trPr>
          <w:trHeight w:val="115"/>
        </w:trPr>
        <w:tc>
          <w:tcPr>
            <w:tcW w:w="104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Balance as of</w:t>
            </w: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March 31,</w:t>
            </w:r>
          </w:p>
        </w:tc>
        <w:tc>
          <w:tcPr>
            <w:tcW w:w="7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w:t>
            </w:r>
          </w:p>
        </w:tc>
        <w:tc>
          <w:tcPr>
            <w:tcW w:w="1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128,198,185</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1,282</w:t>
            </w:r>
          </w:p>
        </w:tc>
        <w:tc>
          <w:tcPr>
            <w:tcW w:w="80" w:type="dxa"/>
            <w:vAlign w:val="bottom"/>
          </w:tcPr>
          <w:p>
            <w:pPr>
              <w:spacing w:after="0"/>
              <w:rPr>
                <w:sz w:val="11"/>
                <w:szCs w:val="11"/>
                <w:color w:val="auto"/>
              </w:rPr>
            </w:pPr>
          </w:p>
        </w:tc>
        <w:tc>
          <w:tcPr>
            <w:tcW w:w="7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9"/>
              </w:rPr>
              <w:t>$ 491,947</w:t>
            </w:r>
          </w:p>
        </w:tc>
        <w:tc>
          <w:tcPr>
            <w:tcW w:w="8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(415,544)</w:t>
            </w:r>
          </w:p>
        </w:tc>
        <w:tc>
          <w:tcPr>
            <w:tcW w:w="8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(1,395,089)</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(37,500)</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40,185</w:t>
            </w:r>
          </w:p>
        </w:tc>
        <w:tc>
          <w:tcPr>
            <w:tcW w:w="0" w:type="dxa"/>
            <w:vAlign w:val="bottom"/>
          </w:tcPr>
          <w:p>
            <w:pPr>
              <w:spacing w:after="0"/>
              <w:rPr>
                <w:sz w:val="1"/>
                <w:szCs w:val="1"/>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1040" w:type="dxa"/>
            <w:vAlign w:val="bottom"/>
          </w:tcPr>
          <w:p>
            <w:pPr>
              <w:spacing w:after="0"/>
              <w:rPr>
                <w:sz w:val="24"/>
                <w:szCs w:val="24"/>
                <w:color w:val="auto"/>
              </w:rPr>
            </w:pPr>
          </w:p>
        </w:tc>
        <w:tc>
          <w:tcPr>
            <w:tcW w:w="14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Series A and B</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2"/>
              </w:rPr>
              <w:t>Common Units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420" w:type="dxa"/>
            <w:vAlign w:val="bottom"/>
            <w:gridSpan w:val="4"/>
          </w:tcPr>
          <w:p>
            <w:pPr>
              <w:jc w:val="center"/>
              <w:spacing w:after="0" w:line="68" w:lineRule="exact"/>
              <w:rPr>
                <w:sz w:val="20"/>
                <w:szCs w:val="20"/>
                <w:color w:val="auto"/>
              </w:rPr>
            </w:pPr>
            <w:r>
              <w:rPr>
                <w:rFonts w:ascii="Arial" w:cs="Arial" w:eastAsia="Arial" w:hAnsi="Arial"/>
                <w:sz w:val="7"/>
                <w:szCs w:val="7"/>
                <w:b w:val="1"/>
                <w:bCs w:val="1"/>
                <w:color w:val="auto"/>
              </w:rPr>
              <w:t>Convertible Series C</w:t>
            </w:r>
          </w:p>
        </w:tc>
        <w:tc>
          <w:tcPr>
            <w:tcW w:w="80" w:type="dxa"/>
            <w:vAlign w:val="bottom"/>
            <w:tcBorders>
              <w:left w:val="single" w:sz="8" w:color="auto"/>
            </w:tcBorders>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5"/>
            <w:vMerge w:val="restart"/>
          </w:tcPr>
          <w:p>
            <w:pPr>
              <w:ind w:left="220"/>
              <w:spacing w:after="0" w:line="135" w:lineRule="exact"/>
              <w:rPr>
                <w:sz w:val="20"/>
                <w:szCs w:val="20"/>
                <w:color w:val="auto"/>
              </w:rPr>
            </w:pPr>
            <w:r>
              <w:rPr>
                <w:rFonts w:ascii="Arial" w:cs="Arial" w:eastAsia="Arial" w:hAnsi="Arial"/>
                <w:sz w:val="14"/>
                <w:szCs w:val="14"/>
                <w:b w:val="1"/>
                <w:bCs w:val="1"/>
                <w:color w:val="auto"/>
              </w:rPr>
              <w:t>Preferred Units</w:t>
            </w:r>
          </w:p>
        </w:tc>
        <w:tc>
          <w:tcPr>
            <w:tcW w:w="152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tcPr>
          <w:p>
            <w:pPr>
              <w:ind w:left="20"/>
              <w:spacing w:after="0" w:line="68" w:lineRule="exact"/>
              <w:rPr>
                <w:sz w:val="20"/>
                <w:szCs w:val="20"/>
                <w:color w:val="auto"/>
              </w:rPr>
            </w:pPr>
            <w:r>
              <w:rPr>
                <w:rFonts w:ascii="Arial" w:cs="Arial" w:eastAsia="Arial" w:hAnsi="Arial"/>
                <w:sz w:val="7"/>
                <w:szCs w:val="7"/>
                <w:b w:val="1"/>
                <w:bCs w:val="1"/>
                <w:color w:val="auto"/>
              </w:rPr>
              <w:t>Paid-in</w:t>
            </w:r>
          </w:p>
        </w:tc>
        <w:tc>
          <w:tcPr>
            <w:tcW w:w="140" w:type="dxa"/>
            <w:vAlign w:val="bottom"/>
          </w:tcPr>
          <w:p>
            <w:pPr>
              <w:spacing w:after="0"/>
              <w:rPr>
                <w:sz w:val="5"/>
                <w:szCs w:val="5"/>
                <w:color w:val="auto"/>
              </w:rPr>
            </w:pPr>
          </w:p>
        </w:tc>
        <w:tc>
          <w:tcPr>
            <w:tcW w:w="8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Deficit</w:t>
            </w: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4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Preferred Units</w:t>
            </w:r>
          </w:p>
        </w:tc>
        <w:tc>
          <w:tcPr>
            <w:tcW w:w="80" w:type="dxa"/>
            <w:vAlign w:val="bottom"/>
            <w:tcBorders>
              <w:lef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0"/>
                <w:szCs w:val="10"/>
                <w:color w:val="auto"/>
              </w:rPr>
            </w:pPr>
          </w:p>
        </w:tc>
        <w:tc>
          <w:tcPr>
            <w:tcW w:w="7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69"/>
        </w:trPr>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Borders>
              <w:lef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040" w:type="dxa"/>
            <w:vAlign w:val="bottom"/>
          </w:tcPr>
          <w:p>
            <w:pPr>
              <w:spacing w:after="0"/>
              <w:rPr>
                <w:sz w:val="15"/>
                <w:szCs w:val="15"/>
                <w:color w:val="auto"/>
              </w:rPr>
            </w:pPr>
          </w:p>
        </w:tc>
        <w:tc>
          <w:tcPr>
            <w:tcW w:w="8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rPr>
              <w:t>Units</w:t>
            </w:r>
          </w:p>
        </w:tc>
        <w:tc>
          <w:tcPr>
            <w:tcW w:w="62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Amount</w:t>
            </w:r>
          </w:p>
        </w:tc>
        <w:tc>
          <w:tcPr>
            <w:tcW w:w="80" w:type="dxa"/>
            <w:vAlign w:val="bottom"/>
            <w:tcBorders>
              <w:left w:val="single" w:sz="8" w:color="auto"/>
            </w:tcBorders>
          </w:tcPr>
          <w:p>
            <w:pPr>
              <w:spacing w:after="0"/>
              <w:rPr>
                <w:sz w:val="15"/>
                <w:szCs w:val="15"/>
                <w:color w:val="auto"/>
              </w:rPr>
            </w:pPr>
          </w:p>
        </w:tc>
        <w:tc>
          <w:tcPr>
            <w:tcW w:w="86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color w:val="auto"/>
              </w:rPr>
              <w:t>Units</w:t>
            </w:r>
          </w:p>
        </w:tc>
        <w:tc>
          <w:tcPr>
            <w:tcW w:w="5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8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auto"/>
              </w:rPr>
              <w:t>Units</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8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rPr>
              <w:t>Shares</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8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18"/>
        </w:trPr>
        <w:tc>
          <w:tcPr>
            <w:tcW w:w="10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as of</w:t>
            </w: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left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2019, as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originally</w:t>
            </w:r>
          </w:p>
        </w:tc>
        <w:tc>
          <w:tcPr>
            <w:tcW w:w="7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94"/>
              </w:rPr>
              <w:t>21,906,852</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304,943</w:t>
            </w:r>
          </w:p>
        </w:tc>
        <w:tc>
          <w:tcPr>
            <w:tcW w:w="80" w:type="dxa"/>
            <w:vAlign w:val="bottom"/>
            <w:tcBorders>
              <w:left w:val="single" w:sz="8" w:color="auto"/>
            </w:tcBorders>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25,381,873</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$ 7,524</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29,058,266</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(242,781)</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w w:val="93"/>
              </w:rPr>
              <w:t>(234,779)</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reported</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040" w:type="dxa"/>
            <w:vAlign w:val="bottom"/>
          </w:tcPr>
          <w:p>
            <w:pPr>
              <w:ind w:left="20"/>
              <w:spacing w:after="0" w:line="115" w:lineRule="exact"/>
              <w:rPr>
                <w:sz w:val="20"/>
                <w:szCs w:val="20"/>
                <w:color w:val="auto"/>
              </w:rPr>
            </w:pPr>
            <w:r>
              <w:rPr>
                <w:rFonts w:ascii="Arial" w:cs="Arial" w:eastAsia="Arial" w:hAnsi="Arial"/>
                <w:sz w:val="13"/>
                <w:szCs w:val="13"/>
                <w:color w:val="auto"/>
              </w:rPr>
              <w:t>Retroactive</w:t>
            </w: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4"/>
                <w:szCs w:val="14"/>
                <w:color w:val="auto"/>
              </w:rPr>
              <w:t>application of</w:t>
            </w:r>
          </w:p>
        </w:tc>
        <w:tc>
          <w:tcPr>
            <w:tcW w:w="700" w:type="dxa"/>
            <w:vAlign w:val="bottom"/>
            <w:vMerge w:val="restart"/>
          </w:tcPr>
          <w:p>
            <w:pPr>
              <w:ind w:left="20"/>
              <w:spacing w:after="0"/>
              <w:rPr>
                <w:sz w:val="20"/>
                <w:szCs w:val="20"/>
                <w:color w:val="auto"/>
              </w:rPr>
            </w:pPr>
            <w:r>
              <w:rPr>
                <w:rFonts w:ascii="Arial" w:cs="Arial" w:eastAsia="Arial" w:hAnsi="Arial"/>
                <w:sz w:val="14"/>
                <w:szCs w:val="14"/>
                <w:color w:val="auto"/>
                <w:w w:val="92"/>
              </w:rPr>
              <w:t>(7,628,249)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(25,381,873)</w:t>
            </w:r>
          </w:p>
        </w:tc>
        <w:tc>
          <w:tcPr>
            <w:tcW w:w="80" w:type="dxa"/>
            <w:vAlign w:val="bottom"/>
          </w:tcPr>
          <w:p>
            <w:pPr>
              <w:spacing w:after="0"/>
              <w:rPr>
                <w:sz w:val="11"/>
                <w:szCs w:val="1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color w:val="auto"/>
              </w:rPr>
              <w:t>(7,524)</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(29,058,266)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37,631,052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color w:val="auto"/>
              </w:rPr>
              <w:t>7,626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104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the</w:t>
            </w: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recapitalization</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left w:val="single" w:sz="8" w:color="auto"/>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as of</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7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94"/>
              </w:rPr>
              <w:t>14,278,603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304,943</w:t>
            </w:r>
          </w:p>
        </w:tc>
        <w:tc>
          <w:tcPr>
            <w:tcW w:w="80" w:type="dxa"/>
            <w:vAlign w:val="bottom"/>
            <w:tcBorders>
              <w:left w:val="single" w:sz="8" w:color="auto"/>
            </w:tcBorders>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9"/>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37,631,052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7,626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(242,781)</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w w:val="93"/>
              </w:rPr>
              <w:t>(234,779)</w:t>
            </w:r>
          </w:p>
        </w:tc>
        <w:tc>
          <w:tcPr>
            <w:tcW w:w="0" w:type="dxa"/>
            <w:vAlign w:val="bottom"/>
          </w:tcPr>
          <w:p>
            <w:pPr>
              <w:spacing w:after="0"/>
              <w:rPr>
                <w:sz w:val="1"/>
                <w:szCs w:val="1"/>
                <w:color w:val="auto"/>
              </w:rPr>
            </w:pPr>
          </w:p>
        </w:tc>
      </w:tr>
      <w:tr>
        <w:trPr>
          <w:trHeight w:val="110"/>
        </w:trPr>
        <w:tc>
          <w:tcPr>
            <w:tcW w:w="1040" w:type="dxa"/>
            <w:vAlign w:val="bottom"/>
            <w:vMerge w:val="restart"/>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2019, as</w:t>
            </w:r>
          </w:p>
        </w:tc>
        <w:tc>
          <w:tcPr>
            <w:tcW w:w="7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80" w:type="dxa"/>
            <w:vAlign w:val="bottom"/>
            <w:tcBorders>
              <w:left w:val="single" w:sz="8" w:color="auto"/>
            </w:tcBorders>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040" w:type="dxa"/>
            <w:vAlign w:val="bottom"/>
            <w:vMerge w:val="continue"/>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4"/>
                <w:szCs w:val="14"/>
                <w:color w:val="auto"/>
              </w:rPr>
              <w:t>Fair value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4"/>
                <w:szCs w:val="14"/>
                <w:color w:val="auto"/>
              </w:rPr>
              <w:t>adjustment of</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w w:val="95"/>
              </w:rPr>
              <w:t>(47,537)</w:t>
            </w:r>
          </w:p>
        </w:tc>
        <w:tc>
          <w:tcPr>
            <w:tcW w:w="80" w:type="dxa"/>
            <w:vAlign w:val="bottom"/>
            <w:tcBorders>
              <w:left w:val="single" w:sz="8" w:color="auto"/>
            </w:tcBorders>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47,537</w:t>
            </w:r>
          </w:p>
        </w:tc>
        <w:tc>
          <w:tcPr>
            <w:tcW w:w="8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47,537</w:t>
            </w:r>
          </w:p>
        </w:tc>
        <w:tc>
          <w:tcPr>
            <w:tcW w:w="0" w:type="dxa"/>
            <w:vAlign w:val="bottom"/>
          </w:tcPr>
          <w:p>
            <w:pPr>
              <w:spacing w:after="0"/>
              <w:rPr>
                <w:sz w:val="1"/>
                <w:szCs w:val="1"/>
                <w:color w:val="auto"/>
              </w:rPr>
            </w:pPr>
          </w:p>
        </w:tc>
      </w:tr>
      <w:tr>
        <w:trPr>
          <w:trHeight w:val="110"/>
        </w:trPr>
        <w:tc>
          <w:tcPr>
            <w:tcW w:w="104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redemption</w:t>
            </w: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tcPr>
          <w:p>
            <w:pPr>
              <w:ind w:left="20"/>
              <w:spacing w:after="0"/>
              <w:rPr>
                <w:sz w:val="20"/>
                <w:szCs w:val="20"/>
                <w:color w:val="auto"/>
              </w:rPr>
            </w:pPr>
            <w:r>
              <w:rPr>
                <w:rFonts w:ascii="Arial" w:cs="Arial" w:eastAsia="Arial" w:hAnsi="Arial"/>
                <w:sz w:val="14"/>
                <w:szCs w:val="14"/>
                <w:color w:val="auto"/>
              </w:rPr>
              <w:t>option</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Share-based</w:t>
            </w: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10"/>
        </w:trPr>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80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80" w:type="dxa"/>
            <w:vAlign w:val="bottom"/>
            <w:tcBorders>
              <w:left w:val="single" w:sz="8" w:color="auto"/>
            </w:tcBorders>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gridSpan w:val="2"/>
            <w:vMerge w:val="continue"/>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040" w:type="dxa"/>
            <w:vAlign w:val="bottom"/>
            <w:vMerge w:val="continue"/>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tcBorders>
              <w:left w:val="single" w:sz="8" w:color="auto"/>
            </w:tcBorders>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4"/>
                <w:szCs w:val="14"/>
                <w:color w:val="auto"/>
              </w:rPr>
              <w:t>Distribution to</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4"/>
                <w:szCs w:val="14"/>
                <w:color w:val="auto"/>
              </w:rPr>
              <w:t>Open Lending,</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(135,380)</w:t>
            </w:r>
          </w:p>
        </w:tc>
        <w:tc>
          <w:tcPr>
            <w:tcW w:w="8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auto"/>
                <w:w w:val="93"/>
              </w:rPr>
              <w:t>(135,380)</w:t>
            </w:r>
          </w:p>
        </w:tc>
        <w:tc>
          <w:tcPr>
            <w:tcW w:w="0" w:type="dxa"/>
            <w:vAlign w:val="bottom"/>
          </w:tcPr>
          <w:p>
            <w:pPr>
              <w:spacing w:after="0"/>
              <w:rPr>
                <w:sz w:val="1"/>
                <w:szCs w:val="1"/>
                <w:color w:val="auto"/>
              </w:rPr>
            </w:pPr>
          </w:p>
        </w:tc>
      </w:tr>
      <w:tr>
        <w:trPr>
          <w:trHeight w:val="110"/>
        </w:trPr>
        <w:tc>
          <w:tcPr>
            <w:tcW w:w="104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LLC</w:t>
            </w: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tcPr>
          <w:p>
            <w:pPr>
              <w:ind w:left="20"/>
              <w:spacing w:after="0"/>
              <w:rPr>
                <w:sz w:val="20"/>
                <w:szCs w:val="20"/>
                <w:color w:val="auto"/>
              </w:rPr>
            </w:pPr>
            <w:r>
              <w:rPr>
                <w:rFonts w:ascii="Arial" w:cs="Arial" w:eastAsia="Arial" w:hAnsi="Arial"/>
                <w:sz w:val="14"/>
                <w:szCs w:val="14"/>
                <w:color w:val="auto"/>
              </w:rPr>
              <w:t>unitholders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8,172</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8,172</w:t>
            </w:r>
          </w:p>
        </w:tc>
        <w:tc>
          <w:tcPr>
            <w:tcW w:w="0" w:type="dxa"/>
            <w:vAlign w:val="bottom"/>
          </w:tcPr>
          <w:p>
            <w:pPr>
              <w:spacing w:after="0"/>
              <w:rPr>
                <w:sz w:val="1"/>
                <w:szCs w:val="1"/>
                <w:color w:val="auto"/>
              </w:rPr>
            </w:pPr>
          </w:p>
        </w:tc>
      </w:tr>
      <w:tr>
        <w:trPr>
          <w:trHeight w:val="115"/>
        </w:trPr>
        <w:tc>
          <w:tcPr>
            <w:tcW w:w="104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Balance as of</w:t>
            </w: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14,278,603</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257,406</w:t>
            </w:r>
          </w:p>
        </w:tc>
        <w:tc>
          <w:tcPr>
            <w:tcW w:w="80" w:type="dxa"/>
            <w:vAlign w:val="bottom"/>
            <w:tcBorders>
              <w:left w:val="single" w:sz="8" w:color="auto"/>
            </w:tcBorders>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9"/>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37,631,052</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376</w:t>
            </w:r>
          </w:p>
        </w:tc>
        <w:tc>
          <w:tcPr>
            <w:tcW w:w="8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8,113</w:t>
            </w:r>
          </w:p>
        </w:tc>
        <w:tc>
          <w:tcPr>
            <w:tcW w:w="80" w:type="dxa"/>
            <w:vAlign w:val="bottom"/>
          </w:tcPr>
          <w:p>
            <w:pPr>
              <w:spacing w:after="0"/>
              <w:rPr>
                <w:sz w:val="10"/>
                <w:szCs w:val="10"/>
                <w:color w:val="auto"/>
              </w:rPr>
            </w:pP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(322,452)</w:t>
            </w:r>
          </w:p>
        </w:tc>
        <w:tc>
          <w:tcPr>
            <w:tcW w:w="8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3"/>
              </w:rPr>
              <w:t>(313,963)</w:t>
            </w: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March 31,</w:t>
            </w: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9"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12,862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8,172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67"/>
        </w:trPr>
        <w:tc>
          <w:tcPr>
            <w:tcW w:w="7860" w:type="dxa"/>
            <w:vAlign w:val="bottom"/>
          </w:tcPr>
          <w:p>
            <w:pPr>
              <w:ind w:left="360"/>
              <w:spacing w:after="0"/>
              <w:rPr>
                <w:sz w:val="20"/>
                <w:szCs w:val="20"/>
                <w:color w:val="auto"/>
              </w:rPr>
            </w:pPr>
            <w:r>
              <w:rPr>
                <w:rFonts w:ascii="Arial" w:cs="Arial" w:eastAsia="Arial" w:hAnsi="Arial"/>
                <w:sz w:val="16"/>
                <w:szCs w:val="16"/>
                <w:color w:val="auto"/>
              </w:rPr>
              <w:t>Amortization of right-of-use assets</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&amp;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4,202</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Prepaid expenses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transaction costs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Other current and non-current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18,835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7,075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property and equipment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revolving facility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term loans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Payment of deferred financing costs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(9,112)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Open Lending, LLC unitholders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(134,153)</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6,662</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23,422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 and restricted cash</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30,414</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beginning of the period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104,148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129,642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40,312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Income tax (refunded) paid, net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Internally developed software costs accrued but not paid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financing costs accrued but not paid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Change in fair value of redeemable convertible series C preferred units</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(47,537)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accrued but not paid</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Open Lending Corporation, headquartered in Austin, Texas, provides loan analytics, risk-based loan pricing, risk modeling, and automated decision technology for automotive lenders throughout the United States of America, which allows each lending institution to book incremental near-prime and non-prime automotive loans out of their existing business flow. The Company also operates as a third-party administrator that adjudicates insurance claims and refunds on those automotive loans.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consummated a business combination (the “Business Combination”) pursuant to that certain Business Combination Agreement, dated as of January 5, 2020 (as amended by that certain Amendment No. 1 and Waiver, dated as of March 18, 2020, that certain Amendment No. 2 and Consent, dated as of March 26, 2020, that certain Amendment No. 3, dated as of May 13, 2020, and that certain amendment No. 4, dated as of June 9, 2020, the “Business Combination Agreement”) by and among Nebula, Open Lending, LLC, a Texas limited liability company, BRP Hold 11, Inc., a Delaware corporation (“Blocker”), the Blocker’s sole stockholder, Nebula Parent Corp., a Delaware Corporation (“ParentCo”), NBLA Merger Sub LLC, a Texas limited liability company, NBLA Merger Sub Corp., a Delaware corporation, and Shareholder Representative Services LLC, a Colorado limited liability company, as the Securityholder Representative.</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upon the completion of the Business Combination and the other transactions contemplated by the Business Combination Agreement (the “Transactions”, and such completion, the “Closing”), Open Lending, LLC became a wholly-owned subsidiary of ParentCo, and, ParentCo changed its name to Open Lending Corporation. The Company is now listed on NASDAQ under the symbol “LPRO.”</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 following the Business Combination. “Open Lending, LLC” and “Nebula” refers to Open Lending, LLC and Nebula Acquisition Corporation prior to the Closing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United States, and all of its revenues are attributable to United States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 and Recent Developments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is a summary of the significant accounting policies consistently applied in the preparation of the accompanying condensed consolidated financial statements.</w:t>
      </w:r>
    </w:p>
    <w:p>
      <w:pPr>
        <w:spacing w:after="0" w:line="274" w:lineRule="exact"/>
        <w:rPr>
          <w:sz w:val="20"/>
          <w:szCs w:val="20"/>
          <w:color w:val="auto"/>
        </w:rPr>
      </w:pPr>
    </w:p>
    <w:p>
      <w:pPr>
        <w:ind w:left="960" w:hanging="466"/>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consolidation</w:t>
      </w:r>
    </w:p>
    <w:p>
      <w:pPr>
        <w:spacing w:after="0" w:line="12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w:t>
      </w:r>
    </w:p>
    <w:p>
      <w:pPr>
        <w:spacing w:after="0" w:line="76"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Certain information and footnote disclosures normally included in annual financial statements prepared in accordance with GAAP have been omitted from these condensed consolidated financial statements, as permitted by SEC rules and regulations. The Company believes the disclosures made in these condensed consolidated financial statements are adequate to make the information herein not misleading. The Company recommends that these condensed consolidated financial statements should be read in conjunction with its audited consolidated financial statements and related notes thereto included in the Annual Report on Form 10-K for the year ended December 31, 2020.</w:t>
      </w:r>
    </w:p>
    <w:p>
      <w:pPr>
        <w:spacing w:after="0" w:line="68" w:lineRule="exact"/>
        <w:rPr>
          <w:sz w:val="20"/>
          <w:szCs w:val="20"/>
          <w:color w:val="auto"/>
        </w:rPr>
      </w:pPr>
    </w:p>
    <w:p>
      <w:pPr>
        <w:jc w:val="both"/>
        <w:ind w:left="500" w:right="180"/>
        <w:spacing w:after="0" w:line="311" w:lineRule="auto"/>
        <w:rPr>
          <w:sz w:val="20"/>
          <w:szCs w:val="20"/>
          <w:color w:val="auto"/>
        </w:rPr>
      </w:pPr>
      <w:r>
        <w:rPr>
          <w:rFonts w:ascii="Arial" w:cs="Arial" w:eastAsia="Arial" w:hAnsi="Arial"/>
          <w:sz w:val="16"/>
          <w:szCs w:val="16"/>
          <w:color w:val="auto"/>
        </w:rPr>
        <w:t>The interim data includes all adjustments, consisting only of normal recurring adjustments, that are, in the opinion of the Company’s management, necessary for a fair statement of the results for the interim periods presented. The results of operations for the three months ended March, 31, 2021 are not necessarily indicative of the Company’s operating results for the entire fiscal year ending December 31, 2021.</w:t>
      </w:r>
    </w:p>
    <w:p>
      <w:pPr>
        <w:spacing w:after="0" w:line="41"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color w:val="auto"/>
        </w:rPr>
        <w:t>The Business Combination is accounted for as a reverse recapitalization as Open Lending, LLC was determined to be the accounting acquirer under Financial Accounting Standards Board’s Accounting Standards Codification Topic 805,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Business Combinations (“ASC 805”). The determination is primarily based on the evaluation of the following facts and circumstances:</w:t>
      </w:r>
    </w:p>
    <w:p>
      <w:pPr>
        <w:spacing w:after="0" w:line="11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hold the majority of voting rights in the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have the right to appoint the majority of the directors of the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senior management of Open Lending, LLC became the senior management of the Company;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of Open Lending, LLC comprise the ongoing operations of the Company.</w:t>
      </w:r>
    </w:p>
    <w:p>
      <w:pPr>
        <w:spacing w:after="0" w:line="117" w:lineRule="exact"/>
        <w:rPr>
          <w:sz w:val="20"/>
          <w:szCs w:val="20"/>
          <w:color w:val="auto"/>
        </w:rPr>
      </w:pPr>
    </w:p>
    <w:p>
      <w:pPr>
        <w:ind w:left="500"/>
        <w:spacing w:after="0" w:line="290" w:lineRule="auto"/>
        <w:rPr>
          <w:sz w:val="20"/>
          <w:szCs w:val="20"/>
          <w:color w:val="auto"/>
        </w:rPr>
      </w:pPr>
      <w:r>
        <w:rPr>
          <w:rFonts w:ascii="Arial" w:cs="Arial" w:eastAsia="Arial" w:hAnsi="Arial"/>
          <w:sz w:val="16"/>
          <w:szCs w:val="16"/>
          <w:color w:val="auto"/>
        </w:rPr>
        <w:t>In connection with the Business Combination, all outstanding units of Open Lending, LLC were converted into common stock of the Company, par value $0.01 per share, representing a recapitalization, and the net assets of Nebula were acquired at historical cost, with no goodwill or intangible assets recorded. Open Lending, LLC was deemed to be the predecessor of the Company, and the consolidated assets and liabilities and results of operations prior to the Closing are those of Open Lending, LLC. The shares and corresponding capital amounts and net income per share available to common stockholders, prior to the Business Combination, have been retroactively restated as shares reflecting the exchange ratio established in the Business Combination Agreement. The number of Series C preferred units in mezzanine equity was also retroactively restated in shares reflecting the exchange ratio, and the carrying amount of the Series C preferred units is based on the fair value of its redemption amount on each reporting date. All Series C preferred units were converted to the Company’s common stock on the closing date of the Business Combination.</w:t>
      </w:r>
    </w:p>
    <w:p>
      <w:pPr>
        <w:spacing w:after="0" w:line="269" w:lineRule="exact"/>
        <w:rPr>
          <w:sz w:val="20"/>
          <w:szCs w:val="20"/>
          <w:color w:val="auto"/>
        </w:rPr>
      </w:pPr>
    </w:p>
    <w:p>
      <w:pPr>
        <w:ind w:left="980" w:hanging="486"/>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Coronavirus outbreak</w:t>
      </w:r>
    </w:p>
    <w:p>
      <w:pPr>
        <w:spacing w:after="0" w:line="108" w:lineRule="exact"/>
        <w:rPr>
          <w:sz w:val="20"/>
          <w:szCs w:val="20"/>
          <w:color w:val="auto"/>
        </w:rPr>
      </w:pPr>
    </w:p>
    <w:p>
      <w:pPr>
        <w:jc w:val="both"/>
        <w:ind w:left="500"/>
        <w:spacing w:after="0" w:line="267" w:lineRule="auto"/>
        <w:rPr>
          <w:sz w:val="20"/>
          <w:szCs w:val="20"/>
          <w:color w:val="auto"/>
        </w:rPr>
      </w:pPr>
      <w:r>
        <w:rPr>
          <w:rFonts w:ascii="Arial" w:cs="Arial" w:eastAsia="Arial" w:hAnsi="Arial"/>
          <w:sz w:val="17"/>
          <w:szCs w:val="17"/>
          <w:color w:val="auto"/>
        </w:rPr>
        <w:t>The outbreak of the novel coronavirus (“COVID-19”) has led to adverse impacts on the U.S. and global economies and created uncertainty regarding potential impacts on our operating results, financial condition and cash flows. The extent of the impact of the COVID-19 pandemic on our operational and financial performance will depend on certain developments, including the duration and continued spread of the disease, the impact on our revenues which are generated with automobile lenders and insurance company partners and driven by consumer demand for automobiles and automotive loans, extended closures of businesses, the effectiveness of the vaccine distribution program and the vaccines themselves, rising unemployment and the overall impact on our customer behavior, all of which are uncertain and cannot be predicted. The Company is diligently working to ensure that we can continue to operate with minimal disruption, mitigate the impact of the pandemic on our employees’ health and safety, and address potential business interruptions on ourselves and our customers. The Company believes that the COVID-19 pandemic, the mitigation efforts and the resulting economic impact have had, and may continue to have, an overall adverse effect on our business, results of operations and financial condition. The Company saw a reduction in loan applications and certified loans throughout the majority of 2020. As consumers and lenders have adjusted to the pandemic, application and certification levels have increased, but are not back to pre-pandemic levels when comparing existing lending institutions to the same lending institution’s prior year performance. Lenders’ forbearance programs, government stimulus packages, extended unemployment benefits and other government assistance via the Cares Act signed into law by the President of the United States on March 27, 2020 and the American Rescue Plan Act of 2021 signed into law by the President of the United States on March 11, 2021 have resulted in a reduction in expected defaults since the onset of the pandemic. As these programs’ accessibility diminishes, defaults may increase. The potential increase in defaults may impact our revenues and subsequent recovery as the automotive finance industry and overall economy recover. The Company continues to closely monitor the current macro environment, particularly the impact of the recent COVID-19 pandemic on monetary and fiscal policies.</w:t>
      </w:r>
    </w:p>
    <w:p>
      <w:pPr>
        <w:spacing w:after="0" w:line="294" w:lineRule="exact"/>
        <w:rPr>
          <w:sz w:val="20"/>
          <w:szCs w:val="20"/>
          <w:color w:val="auto"/>
        </w:rPr>
      </w:pPr>
    </w:p>
    <w:p>
      <w:pPr>
        <w:ind w:left="980" w:hanging="486"/>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The Company is an “emerging growth company” as defined in Section 2(a)(19) of the Securities Act, as modified by the Jumpstart Our Business Startups Act (“JOBS Act”). As such, the Company is eligible for and intends to take advantage of certain exemptions from various reporting requirements applicable to other public companies that are not emerging growth companies for as long as it continues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its periodic reports and proxy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left="500"/>
        <w:spacing w:after="0" w:line="301" w:lineRule="auto"/>
        <w:rPr>
          <w:sz w:val="20"/>
          <w:szCs w:val="20"/>
          <w:color w:val="auto"/>
        </w:rPr>
      </w:pPr>
      <w:r>
        <w:rPr>
          <w:rFonts w:ascii="Arial" w:cs="Arial" w:eastAsia="Arial" w:hAnsi="Arial"/>
          <w:sz w:val="16"/>
          <w:szCs w:val="16"/>
          <w:color w:val="auto"/>
        </w:rPr>
        <w:t>The Company will remain an emerging growth company until the earliest of (i) the Company is deemed to be a “large accelerated filer,” as defined in the Exchange Act, (ii) the last day of the fiscal year in which it has total annual gross revenue of $1.07 billion or more during such fiscal year, (iii) the date on which it has issued more than $1 billion in non-convertible debt in the prior three-year period or (iv) the last day of the fiscal year following the fifth anniversary of the date of the first sale of the Company’s common stock in the Company’s initial public offering.</w:t>
      </w:r>
    </w:p>
    <w:p>
      <w:pPr>
        <w:spacing w:after="0" w:line="261"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revenue and credit risks</w:t>
      </w:r>
    </w:p>
    <w:p>
      <w:pPr>
        <w:spacing w:after="0" w:line="121"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The Company’s business relationships with its two insurance partners generate 66% of the Company’s total revenue, with the top insurance partner accounting for approximately 65% of the total profit share revenue. In the event that one or more of our other significant customers terminate their relationships with us, or elect to utilize an alternative source for financing, the number of loans originated through the Lender’s Protection Platform (“LPP”) would decline, which would materially and adversely affect our business and, in turn, our revenue.</w:t>
      </w:r>
    </w:p>
    <w:p>
      <w:pPr>
        <w:spacing w:after="0" w:line="63"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and accounts receivable to the extent of the amounts recorded on the balance sheets.</w:t>
      </w:r>
    </w:p>
    <w:p>
      <w:pPr>
        <w:spacing w:after="0" w:line="62"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Cash and cash equivalents are deposited in commercial analysis and savings accounts at two financial institutions, both with high credit standing. Restricted cash relates to funds held by the Company on behalf of the insurance carriers, delegated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6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Company’s accounts receivables are derived from revenue earned from customers. The Company performs credit evaluations of its customers’ financial condition. As of March 31, 2021 and December 31, 2020, there was no allowance for doubtful accounts. At March 31, 2021, the Company had one customer that represented 17% of the Company's accounts receivable. At December 31, 2020, the Company had one customer that represented 19% of the Company’s accounts receivable.</w:t>
      </w:r>
    </w:p>
    <w:p>
      <w:pPr>
        <w:spacing w:after="0" w:line="291"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and judgments</w:t>
      </w:r>
    </w:p>
    <w:p>
      <w:pPr>
        <w:spacing w:after="0" w:line="12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in the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79" w:lineRule="exact"/>
        <w:rPr>
          <w:sz w:val="20"/>
          <w:szCs w:val="20"/>
          <w:color w:val="auto"/>
        </w:rPr>
      </w:pPr>
    </w:p>
    <w:p>
      <w:pPr>
        <w:jc w:val="both"/>
        <w:ind w:left="500"/>
        <w:spacing w:after="0" w:line="311" w:lineRule="auto"/>
        <w:rPr>
          <w:sz w:val="20"/>
          <w:szCs w:val="20"/>
          <w:color w:val="auto"/>
        </w:rPr>
      </w:pPr>
      <w:r>
        <w:rPr>
          <w:rFonts w:ascii="Arial" w:cs="Arial" w:eastAsia="Arial" w:hAnsi="Arial"/>
          <w:sz w:val="16"/>
          <w:szCs w:val="16"/>
          <w:color w:val="auto"/>
        </w:rPr>
        <w:t>The most significant items subject to such estimates and assumptions include, but are not limited to, profit share revenue recognition and the corresponding impact on contract assets, the recognition of the valuations of share-based compensation arrangements, and assessing the realizability of deferred tax assets. These estimates, although based on actual historical trend and modeling, may potentially show significant variances over time.</w:t>
      </w:r>
    </w:p>
    <w:p>
      <w:pPr>
        <w:spacing w:after="0" w:line="41"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In connection with profit share revenue recognition and the estimation of contract asset under Accounting Standards Update (“ASU”) 2014-9, Revenue from Contracts with Customers (Topic 606) (“ASC 606”), we use forecasts of loan-level earned premium and insurance claim payments. These forecasts are driven by the projection of loan defaults, prepayments and default severity rates. These assumptions are based on our observations of the historical behavior for loans with similar risk characteristics. The assumptions also take into consideration the forecast adjustments under various macroeconomic conditions, including the potential impact from the COVID-19 pandemic, and the current mix of the underlying portfolio of our insurance partners. As the Company closely monitors the development of the pandemic and its ongoing impact on Open Lending's business, management has accordingly adjusted these assumptions during the first three months of 2021 as a result of changes in facts and circumstances and general market conditions derived from the COVID-19 pandemic.</w:t>
      </w:r>
    </w:p>
    <w:p>
      <w:pPr>
        <w:spacing w:after="0" w:line="282"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basis and for operating loss and tax credit carryforwards.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income in the period that includes the enactment date.</w:t>
      </w:r>
    </w:p>
    <w:p>
      <w:pPr>
        <w:spacing w:after="0" w:line="76"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w:t>
      </w:r>
    </w:p>
    <w:p>
      <w:pPr>
        <w:spacing w:after="0" w:line="62"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as the largest amount that is greater than 50% likely of being realized.</w:t>
      </w:r>
    </w:p>
    <w:p>
      <w:pPr>
        <w:spacing w:after="0" w:line="62"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The Company records potential interest and penalties related to an underpayment of income taxes as interest expense and penalties included within operating expenses in the consolidated statements of operations and comprehensive income.</w:t>
      </w:r>
    </w:p>
    <w:p>
      <w:pPr>
        <w:spacing w:after="0" w:line="274" w:lineRule="exact"/>
        <w:rPr>
          <w:sz w:val="20"/>
          <w:szCs w:val="20"/>
          <w:color w:val="auto"/>
        </w:rPr>
      </w:pPr>
    </w:p>
    <w:p>
      <w:pPr>
        <w:ind w:left="960" w:hanging="466"/>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new accounting standards</w:t>
      </w:r>
    </w:p>
    <w:p>
      <w:pPr>
        <w:spacing w:after="0" w:line="121" w:lineRule="exact"/>
        <w:rPr>
          <w:sz w:val="20"/>
          <w:szCs w:val="20"/>
          <w:color w:val="auto"/>
        </w:rPr>
      </w:pPr>
    </w:p>
    <w:p>
      <w:pPr>
        <w:jc w:val="both"/>
        <w:ind w:left="500" w:right="20"/>
        <w:spacing w:after="0" w:line="263" w:lineRule="auto"/>
        <w:rPr>
          <w:sz w:val="20"/>
          <w:szCs w:val="20"/>
          <w:color w:val="auto"/>
        </w:rPr>
      </w:pPr>
      <w:r>
        <w:rPr>
          <w:rFonts w:ascii="Arial" w:cs="Arial" w:eastAsia="Arial" w:hAnsi="Arial"/>
          <w:sz w:val="18"/>
          <w:szCs w:val="18"/>
          <w:color w:val="auto"/>
        </w:rPr>
        <w:t>On January, 1, 2021, the Company adopted ASU 2019-12, which affects general principles within Topic 740, Income Taxes. The amendments of ASU 2019-12 are meant to simplify and reduce the cost of accounting for income taxes. The impact of the adoption of this standard was immaterial to the condensed consolidated financial statements.</w:t>
      </w:r>
    </w:p>
    <w:p>
      <w:pPr>
        <w:spacing w:after="0" w:line="76"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On January 1, 2021, the Company adopted ASU 2018-15, Intangibles—Goodwill and Other—Internal—Use Software, Subtopic, 350-40, which provides guidance on a customer’s accounting for implementation costs incurred in a cloud-computing arrangement when hosted by a vendor. The guidance provides that, in a hosting arrangement that is a service contract, certain implementation costs should be capitalized and amortized over the term of the arrangement. The Company adopted this guidance using the prospective method. The impact of the adoption of this standard was immaterial to the condensed consolidated financial statements.</w:t>
      </w:r>
    </w:p>
    <w:p>
      <w:pPr>
        <w:spacing w:after="0" w:line="292"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not yet adopted</w:t>
      </w:r>
    </w:p>
    <w:p>
      <w:pPr>
        <w:spacing w:after="0" w:line="121"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In June 2016, the Financial Accounting Standards Board (“FASB”) issued ASU 2016-13, Financial Instruments—Credit Losses: Measurement of Credit Losses on Financial Instruments, which provides guidance 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This ASU will be effective for the Company commencing after December 15, 2022. The Company is in the process of assessing the impact of this ASU on our condensed consolidated financial statements and disclosures.</w:t>
      </w:r>
    </w:p>
    <w:p>
      <w:pPr>
        <w:spacing w:after="0" w:line="84" w:lineRule="exact"/>
        <w:rPr>
          <w:sz w:val="20"/>
          <w:szCs w:val="20"/>
          <w:color w:val="auto"/>
        </w:rPr>
      </w:pPr>
    </w:p>
    <w:p>
      <w:pPr>
        <w:jc w:val="both"/>
        <w:ind w:left="500"/>
        <w:spacing w:after="0" w:line="287" w:lineRule="auto"/>
        <w:rPr>
          <w:sz w:val="20"/>
          <w:szCs w:val="20"/>
          <w:color w:val="auto"/>
        </w:rPr>
      </w:pPr>
      <w:r>
        <w:rPr>
          <w:rFonts w:ascii="Arial" w:cs="Arial" w:eastAsia="Arial" w:hAnsi="Arial"/>
          <w:sz w:val="16"/>
          <w:szCs w:val="16"/>
          <w:color w:val="auto"/>
        </w:rPr>
        <w:t>In March 2020, the FASB issued ASU 2020-04, Reference Rate Reform within Topic 848, which provides optional expedients and exceptions to contracts, hedging relationships, and other transactions affected by reference rate reform if certain criteria are met. The amendments in this update apply only to contracts, hedging relationships, and other transactions that reference London Inter-bank Offered Rate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for which an entity has elected certain optional expedients and are retained through the end of the hedging relationship. The amendments in this update also include a general principle that permits an entity to consider contract modifications due to reference rate reform to be an event that does not require contract remeasurement at the modification date or reassessment of a previous accounting determination. If elected, the optional expedients for contract modifications must be applied consistently for all eligible contracts or eligible transactions within the relevant ASC Topic or Industry Subtopic that contains the guidance that otherwise would be required to be applied. The amendments in this update were effective upon issuance and may be applied prospectively to contract modifications made and hedging relationships entered into or evaluated on or before December 31, 2022. The Company is evaluating the effect of ASU 2020-04 on the Company’s condensed consolidated financial statements.</w:t>
      </w:r>
    </w:p>
    <w:p>
      <w:pPr>
        <w:spacing w:after="0" w:line="60"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we have adopted or will adopt, as applicable, the Company does not believe any of these accounting pronouncements has had or will have a material impact on the Company’s condensed consolidated financial position or results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3—Business Combination</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10, 2020, Nebula consummated a business combination with Open Lending, LLC pursuant to the Business Combination Agreement. Pursuant to ASC 805, for financial accounting and reporting purposes, Open Lending, LLC was deemed the accounting acquirer and Nebula was treated as the accounting acquiree, and the Business Combination was accounted for as a reverse recapitalization. Accordingly, the Business Combination was treated as the equivalent of Open Lending, LLC issuing equity for the net assets of Nebula, accompanied by a recapitalization. Under this method of accounting, the consolidated financial statements of Open Lending, LLC are the historical financial statements of Open Lending Corporation. The net assets of Nebula were stated at historical costs, with no goodwill or other intangible assets recorded in accordance with U.S. GAAP, and are consolidated with Open Lending, LLC’s financial statements on the Closing Date. The shares and net income (loss) per share available to holders of the Company’s common stock, prior to the Business Combination, have been retroactively restated as shares reflecting the exchange ratio established in the Business Combination Agreement.</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the Business Combination, Open Lending, LLC’s unitholders received aggregate consideration of approximately $1.0 billion, which consisted of (i) $328.8 million in cash at the closing of the Business Combination, net of transaction expenses, (ii) $135.0 million in cash distribution from debt issued in March 2020, and (iii) 51,909,655 shares of common stock valued at $10.00 per share, totaling $519.1 million. In addition, Open Lending, LLC’s unitholders received additional contingent consideration of 22,500,000 shares based on meeting certain thresholds following the Business Combination. All contingent consideration shares were issued or released during the third quarter of 2020.</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Business Combination, the Company incurred direct and incremental costs of approximately $55.5 million related to the equity issuance, consisting primarily of investment banking, legal, accounting and other professional fees, which were recorded to additional paid-in capital as a reduction of proceeds. In addition, the Company incurred $9.1 million in transaction bonuses paid to key employees and directors and $2.2 million in non-cash share-based compensation expense due to the accelerated vesting of Open Lending, LLC’s legacy share-based compensation plan in the second quarter of 2020. The transaction bonuses and share-based compensation are included in general and administrative expense on our consolidated statements of operations and comprehensive income (loss) during the second quarter of 2020.</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Note 4—Debt</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24"/>
        </w:trPr>
        <w:tc>
          <w:tcPr>
            <w:tcW w:w="8260" w:type="dxa"/>
            <w:vAlign w:val="bottom"/>
          </w:tcPr>
          <w:p>
            <w:pPr>
              <w:spacing w:after="0"/>
              <w:rPr>
                <w:sz w:val="20"/>
                <w:szCs w:val="20"/>
                <w:color w:val="auto"/>
              </w:rPr>
            </w:pPr>
            <w:r>
              <w:rPr>
                <w:rFonts w:ascii="Arial" w:cs="Arial" w:eastAsia="Arial" w:hAnsi="Arial"/>
                <w:sz w:val="18"/>
                <w:szCs w:val="18"/>
                <w:color w:val="auto"/>
              </w:rPr>
              <w:t>The following table provides a summary of the Company’s debt at the periods indicated:</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6"/>
        </w:trPr>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189"/>
        </w:trPr>
        <w:tc>
          <w:tcPr>
            <w:tcW w:w="8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60" w:type="dxa"/>
            <w:vAlign w:val="bottom"/>
            <w:tcBorders>
              <w:bottom w:val="single" w:sz="8" w:color="CCEEFF"/>
            </w:tcBorders>
            <w:gridSpan w:val="4"/>
            <w:shd w:val="clear" w:color="auto" w:fill="CCEEFF"/>
          </w:tcPr>
          <w:p>
            <w:pPr>
              <w:jc w:val="right"/>
              <w:ind w:right="990"/>
              <w:spacing w:after="0"/>
              <w:rPr>
                <w:sz w:val="20"/>
                <w:szCs w:val="20"/>
                <w:color w:val="auto"/>
              </w:rPr>
            </w:pPr>
            <w:r>
              <w:rPr>
                <w:rFonts w:ascii="Arial" w:cs="Arial" w:eastAsia="Arial" w:hAnsi="Arial"/>
                <w:sz w:val="14"/>
                <w:szCs w:val="14"/>
                <w:i w:val="1"/>
                <w:iCs w:val="1"/>
                <w:color w:val="auto"/>
              </w:rPr>
              <w:t>(in thousands)</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Revolving Facility, matures in 2026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due 2026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Term Loan due 2027</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166,813</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(9,066)</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157,747</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debt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170,212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152,859</w:t>
            </w:r>
          </w:p>
        </w:tc>
      </w:tr>
      <w:tr>
        <w:trPr>
          <w:trHeight w:val="20"/>
        </w:trPr>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due 2027</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11, 2020, the Company entered into a credit agreement with UBS A.G. as the administrative agent and the lenders from time to time party thereto (the “Credit Agreement”). Pursuant to the credit agreement, the lenders thereto funded a term loan (the “Term Loan due 2027”) in a principal amount of $170.0 million bearing an interest rate per annum of LIBOR plus 6.5% (subject to a LIBOR floor of 1%), with a maturity date in March 2027. The Term Loan due 2027 was retired by the Company paying off its outstanding principal and interest with proceeds from issuance of the Term Loan due 2026 and the Revolving Facility (both as defined below) in March 2021. The transaction was deemed as a debt extinguishment under ASC Topic 405-20, “Liabilities—Extinguishments of Liabilities,” and accordingly, the Company recognized a non-cash debt extinguishment loss of $8.8 million, which was recorded under the caption loss on extinguishment of debt in the condensed consolidated statements of operations and comprehensive Income. The loss on debt extinguishment was calculated as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difference between the carrying amount of the debt and the price paid to retire the debt, which primarily consisted of the write off of the unamortized deferred financing costs related to the Term Loan due 2027.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Agreement—Term Loan due 2026 and Revolving Credit Facility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19, 2021, the Company entered into a credit agreement with Wells Fargo Bank, N.A. as the administrative agent (the “New Credit Agreement”),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“Revolving Facility”). The obligations of the Company under the Term Loan due 2026 and the Revolving Facility are guaranteed by all of the Company’s US subsidiaries and are secured by substantially all of the assets of the Company and its US subsidiaries, subject to customary exceptions.</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Interest under the Term Loan due 2026 and the Revolving Facility are, at the option of the Company, either at an Alternate Base rate (“ABR”) plus a spread ranging from 0.75% to 1.50%, or a LIBOR rate plus a spread ranging from 1.75% to 2.50%. With respect to the ABR loans, interest will be payable at the end of each calendar quarter. With respect to the LIBOR loans, interest will be payable at the end of the selected interest period. Additionally, there is a commitment fee payable at the end of each quarter at a rate per annum ranging from 0.200% to 0.275% based on the average daily unused portion of the Revolving Facility, and other customary letter of credit fees. Pursuant to the New Credit Agreement, the interest rate spreads and commitment fees increase or decrease in increments as our Funded Secured Debt/EBITDA ratio increase or decreases. As of March 31, 2021, both the Term Loan due 2026 and the Revolving Facility are subject a LIBOR rate of 0.11% plus a spread of 2.00% per annum, and we do not have an unused commitment balance under the Revolving Facility.</w:t>
      </w:r>
    </w:p>
    <w:p>
      <w:pPr>
        <w:spacing w:after="0" w:line="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issuance of the Term Loan due 2026 and the Revolving Facility, the Company incurred total deferred financing costs of $1.7 million, of which $1.2 million was allocated to the Term Loan due 2026 and $0.5 million was allocated to the Revolving Facility. The deferred financing costs were capitalized as a contra-liability against the principal balance of the loans and are amortized as interest expense using the effective interest method. As of March 31, 2021, the weighted average effective interest rate on our outstanding borrowings was 2.39%.</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New Credit Agreement contains a maximum total net leverage ratio financial covenant and a minimum fixed charge coverage ratio financial covenant that are tested quarterly starting with the quarter ending June 30, 2021. The maximum total net leverage ratio is 3.5 to 1.0 for periods on or prior to December 31, 2022, and then decreases to 3.0 to 1.0 after December 31, 2022. The minimum fixed charge coverage ratio is 1.25 to 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5—Revenue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to which it is entitled. Revenue is recognized when, or as, performance obligations are satisfied by transferring control of a promised product or service to a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generates revenue primarily by providing services to lending institutions and insurance carriers. The following is a description of the principal activities from which the Company generates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lending institutions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Program fees are derived from contracts with automotive lenders. Through the Company’s proprietary LPP, the Company enables automotive lenders to make loans that are insured against certain credit losses from defaults. The Company generates program fee revenue from our proprietary, cloud-based software platform that enables automotive lenders, Original Equipment Manufacturing (“OEM”) captive finance companies and other financial institutions (collectively “lending institutions”) to approve loans to traditionally underserved non-prime or near-prime borrowers.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program fees for providing loan decision-making analytics solutions and automated issuance of credit default insurance with third-party insurance providers. The Company’s performance obligation is complete when a loan is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certified through LPP and is issued by the lending institution. Program fee contracts contain a single performance obligation, which consist of a series of distinct services that are substantially the same with the same pattern of transfer to customers.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 fees are based on a percentage of the initial principal amount of the loans processed by the Company. There are two types of payment arrangements: 1) a single pay program fee is due based on the volume of loans originated by the lending institution in a calendar month; or 2) a monthly pay program fee is due in equal monthly installments within 12 months of loan origination.</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bills the customer for an amount calculated based on the actual number of loans processed in a calendar month, which corresponds directly with the value of service transferred to the customer in that month.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insurance carriers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producer agreements with two insurance carriers, AmTrust Financial Services, Inc. (“AmTrust”) and CNA Financial Corporation (“CNA”), from which the Company earns profit-share revenue and claims administration service fees.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profit share arrangement, the Company facilitates placement of credit default insurance policies with lending institutions on behalf of our insurance partners. Profit share revenue represents our participation in the underwriting profit of our third-party insurance partners who provide lenders with credit default insurance on loans the automotive lenders make using our LPP. The Company receives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 The Company fulfills its performance obligation upon placement of the insurance, at which point the Company is entitled to the profit share of all future net premiums earned by the insurance carrier on the policy.</w:t>
      </w:r>
    </w:p>
    <w:p>
      <w:pPr>
        <w:spacing w:after="0" w:line="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determine the profit share revenue the Company uses forecasts of loan-level earned premium and insurance claim payments. These forecasts are driven by the projection of loan defaults, prepayments and severity rates. These assumptions are based on our observations of the historical behavior for loans with similar risk characteristics. The assumptions also take consideration of the forecast adjustments under various macroeconomic conditions and the current mix of the underlying portfolio of our insurance partners. To the extent these assumptions change, our profit share revenue will be adjusted.</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606, Revenue from Contracts with Customers, at the time of the placement of a policy by an insurance company, the Company estimates the variable consideration based on undiscounted expected future profit share to be received from the insurance carriers. The Company applies economic stress factors in the Company’s forecast to constrain its estimation of future profit share revenue to an amount reflecting the Company’s belief that a significant reversal in the cumulative amount of revenue is not probable of occurring when the uncertainty is resolved.</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Claims administration service fees are generated from us acting as a third-party administrator to process and adjudicate the credit default insurance claims on behalf of the insurance companies. In this arrangement, the performance obligation to provide claims administration services is generally satisfied over time, with the customer simultaneously receiving and consuming the benefits as the Company satisfies our performance obligations.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for the periods indicated below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Profit</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TPA Fee</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1"/>
              </w:rPr>
              <w:t>Program</w:t>
            </w:r>
          </w:p>
        </w:tc>
        <w:tc>
          <w:tcPr>
            <w:tcW w:w="300" w:type="dxa"/>
            <w:vAlign w:val="bottom"/>
          </w:tcPr>
          <w:p>
            <w:pPr>
              <w:spacing w:after="0"/>
              <w:rPr>
                <w:sz w:val="14"/>
                <w:szCs w:val="14"/>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3"/>
              </w:rPr>
              <w:t>Fee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40" w:type="dxa"/>
            <w:vAlign w:val="bottom"/>
            <w:gridSpan w:val="5"/>
            <w:shd w:val="clear" w:color="auto" w:fill="CCEEFF"/>
          </w:tcPr>
          <w:p>
            <w:pPr>
              <w:ind w:left="7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83,177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5,343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89,342</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of contract assets due to new business generation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38,934</w:t>
            </w:r>
          </w:p>
        </w:tc>
        <w:tc>
          <w:tcPr>
            <w:tcW w:w="0" w:type="dxa"/>
            <w:vAlign w:val="bottom"/>
          </w:tcPr>
          <w:p>
            <w:pPr>
              <w:spacing w:after="0"/>
              <w:rPr>
                <w:sz w:val="1"/>
                <w:szCs w:val="1"/>
                <w:color w:val="auto"/>
              </w:rPr>
            </w:pPr>
          </w:p>
        </w:tc>
      </w:tr>
      <w:tr>
        <w:trPr>
          <w:trHeight w:val="176"/>
        </w:trPr>
        <w:tc>
          <w:tcPr>
            <w:tcW w:w="5600" w:type="dxa"/>
            <w:vAlign w:val="bottom"/>
          </w:tcPr>
          <w:p>
            <w:pPr>
              <w:ind w:left="20"/>
              <w:spacing w:after="0" w:line="176" w:lineRule="exact"/>
              <w:rPr>
                <w:sz w:val="20"/>
                <w:szCs w:val="20"/>
                <w:color w:val="auto"/>
              </w:rPr>
            </w:pPr>
            <w:r>
              <w:rPr>
                <w:rFonts w:ascii="Arial" w:cs="Arial" w:eastAsia="Arial" w:hAnsi="Arial"/>
                <w:sz w:val="18"/>
                <w:szCs w:val="18"/>
                <w:color w:val="auto"/>
              </w:rPr>
              <w:t>Adjustment of contract assets due to estimation of revenue from</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Receivables transferred from contract assets upon billing the lending</w:t>
            </w:r>
          </w:p>
        </w:tc>
        <w:tc>
          <w:tcPr>
            <w:tcW w:w="2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(14,860)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institutions</w:t>
            </w:r>
          </w:p>
        </w:tc>
        <w:tc>
          <w:tcPr>
            <w:tcW w:w="28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w w:val="91"/>
              </w:rPr>
              <w:t>(1,295)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(21,272)</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as of March 31, 2021</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97,218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2021 and December 31, 2020, our total contract assets consisted of $52.7 million and $50.4 million, respectively, as the current portion estimated to be received within one year and $44.5 million and $39.0 million, respectively, in the non-current portion to be received beyond one year. During the three months ended March 31, 2021, the profit share component of our contract assets increased $22.7 million in anticipated profit share associated with 33,318 new certified loans for an average of $680 per loan and a $5.1 million positive adjustment in the contract asset related to performance obligations satisfied in previous periods as a result of the continued positive portfolio performance due to lower than projected default frequency and severity stress and overall fewer claims for loss. During the three months ended March 31, 2021, the Company received $20.0 million in profit share payments from our insurance carriers, which is an increase over our previous quarterly collections. The increase is primarily the result of our carriers releasing reserves established due to uncertainty related to the COVID-19 pandemic. More specifically, reserves were established to reflect the potential for higher defaults, increased severity of defaults and accelerated prepayments. These risks have not materialized as the portfolio has performed better-than-expected.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fulfillment costs associated with our contracts with customers do not meet the criteria for capitalization and therefore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disaggregates revenues by revenue source (i.e. program fee, profit share and claims administration service fee), and the level of disaggregation is presented in the condensed consolidated operations and comprehensive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Common Unit Incentive Plan (the “Class B Plan”)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the Business Combination, commencing in 2013, the Board of Managers of Open Lending, LLC approved the Class B Unit Incentive Plan (the “Class B Plan”), which was a form of long-term compensation that provided for the issuance of ownership shares to service providers for purposes of retaining them and enabling such individuals to participate in the long-term growth and financial success of Open Lending, LLC. As a result of the Business Combination, the Board of Managers approved an acceleration of the awards granted in connection with the Class B Plan, to allow accelerated vesting of the units at the consummation of the Business Combination. On the date of the Closing, the Class B common units were converted into shares of common stock of Open Lending Corporation on the exchange ratio established in the Business Combination Agreement.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Stock Option and Incentive Plan (the “2020 Plan”)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the closing of the Business Combination, on June 9, 2020, Nebula’s stockholders approved the 2020 Plan. The 2020 Plan provides for the grant of stock options, stock appreciation rights, restricted stock units and other stock or cash-based awards. The Company initially reserved 9,693,750, approximately 10% of the number of shares of its common stock outstanding upon the closing, as the “Initial Limit” for the issuance of awards under the 2020 Plan. The 2020 Plan provides that the number of shares reserved and available for issuance under the plan will automatically increase each January 1, beginning on January 1, 2021, by 4% of the outstanding number of shares of the Company’s common stock on the immediately preceding December 31, or the “Annual Increase.” This limit is subject to adjustment in the event of a stock split, stock dividend or other change in the Company’s capitalization. As of March 31, 2021, the shares reserved and available for issuance under the 2020 plan is 14,356,901, which includes the 4% annual increase in 2021 less restricted stock units and stock options issued under the 2020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recorded for each type of award is as follows:</w:t>
      </w:r>
    </w:p>
    <w:p>
      <w:pPr>
        <w:spacing w:after="0" w:line="129"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Three Months Ended March</w:t>
      </w:r>
    </w:p>
    <w:p>
      <w:pPr>
        <w:jc w:val="center"/>
        <w:ind w:left="872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r>
      <w:tr>
        <w:trPr>
          <w:trHeight w:val="223"/>
        </w:trPr>
        <w:tc>
          <w:tcPr>
            <w:tcW w:w="8740" w:type="dxa"/>
            <w:vAlign w:val="bottom"/>
          </w:tcPr>
          <w:p>
            <w:pPr>
              <w:spacing w:after="0"/>
              <w:rPr>
                <w:sz w:val="19"/>
                <w:szCs w:val="19"/>
                <w:color w:val="auto"/>
              </w:rPr>
            </w:pPr>
          </w:p>
        </w:tc>
        <w:tc>
          <w:tcPr>
            <w:tcW w:w="2120" w:type="dxa"/>
            <w:vAlign w:val="bottom"/>
            <w:gridSpan w:val="4"/>
          </w:tcPr>
          <w:p>
            <w:pPr>
              <w:jc w:val="right"/>
              <w:ind w:right="27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9"/>
                <w:szCs w:val="19"/>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Time-Based Restricted Stock Units</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233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Class B Common Units</w:t>
            </w:r>
          </w:p>
        </w:tc>
        <w:tc>
          <w:tcPr>
            <w:tcW w:w="8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487</w:t>
            </w:r>
          </w:p>
        </w:tc>
      </w:tr>
      <w:tr>
        <w:trPr>
          <w:trHeight w:val="24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share-based compensation expense</w:t>
            </w:r>
          </w:p>
        </w:tc>
        <w:tc>
          <w:tcPr>
            <w:tcW w:w="82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487</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and 2020, share-based compensation expense was allocated to cost of services, general and administrative, selling and marketing, and research and development, generally based on the functional responsibilities of the awarded unit holders in the accompanying condensed consolidated statements of operations and comprehensive income as follows:</w:t>
      </w:r>
    </w:p>
    <w:p>
      <w:pPr>
        <w:spacing w:after="0" w:line="87"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Three Months Ended March</w:t>
      </w:r>
    </w:p>
    <w:p>
      <w:pPr>
        <w:jc w:val="center"/>
        <w:ind w:left="872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120" w:type="dxa"/>
            <w:vAlign w:val="bottom"/>
            <w:gridSpan w:val="4"/>
          </w:tcPr>
          <w:p>
            <w:pPr>
              <w:jc w:val="right"/>
              <w:ind w:right="27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58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444</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4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49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487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jc w:val="right"/>
              <w:ind w:right="2930"/>
              <w:spacing w:after="0"/>
              <w:rPr>
                <w:sz w:val="20"/>
                <w:szCs w:val="20"/>
                <w:color w:val="auto"/>
              </w:rPr>
            </w:pPr>
            <w:r>
              <w:rPr>
                <w:rFonts w:ascii="Arial" w:cs="Arial" w:eastAsia="Arial" w:hAnsi="Arial"/>
                <w:sz w:val="18"/>
                <w:szCs w:val="18"/>
                <w:color w:val="auto"/>
              </w:rPr>
              <w:t>15</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6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related to the the Company’s share-based compensation award activity for the three months ended March 31,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880" w:type="dxa"/>
            <w:vAlign w:val="bottom"/>
            <w:gridSpan w:val="5"/>
          </w:tcPr>
          <w:p>
            <w:pPr>
              <w:ind w:left="920"/>
              <w:spacing w:after="0"/>
              <w:rPr>
                <w:sz w:val="20"/>
                <w:szCs w:val="20"/>
                <w:color w:val="auto"/>
              </w:rPr>
            </w:pPr>
            <w:r>
              <w:rPr>
                <w:rFonts w:ascii="Arial" w:cs="Arial" w:eastAsia="Arial" w:hAnsi="Arial"/>
                <w:sz w:val="18"/>
                <w:szCs w:val="18"/>
                <w:b w:val="1"/>
                <w:bCs w:val="1"/>
                <w:color w:val="auto"/>
              </w:rPr>
              <w:t>Time-Based</w:t>
            </w:r>
          </w:p>
        </w:tc>
        <w:tc>
          <w:tcPr>
            <w:tcW w:w="2800" w:type="dxa"/>
            <w:vAlign w:val="bottom"/>
            <w:gridSpan w:val="4"/>
            <w:vMerge w:val="restart"/>
          </w:tcPr>
          <w:p>
            <w:pPr>
              <w:jc w:val="right"/>
              <w:ind w:right="770"/>
              <w:spacing w:after="0"/>
              <w:rPr>
                <w:sz w:val="20"/>
                <w:szCs w:val="20"/>
                <w:color w:val="auto"/>
              </w:rPr>
            </w:pPr>
            <w:r>
              <w:rPr>
                <w:rFonts w:ascii="Arial" w:cs="Arial" w:eastAsia="Arial" w:hAnsi="Arial"/>
                <w:sz w:val="18"/>
                <w:szCs w:val="18"/>
                <w:b w:val="1"/>
                <w:bCs w:val="1"/>
                <w:color w:val="auto"/>
              </w:rPr>
              <w:t>Stock Options</w:t>
            </w:r>
          </w:p>
        </w:tc>
        <w:tc>
          <w:tcPr>
            <w:tcW w:w="80" w:type="dxa"/>
            <w:vAlign w:val="bottom"/>
            <w:vMerge w:val="restart"/>
          </w:tcPr>
          <w:p>
            <w:pPr>
              <w:spacing w:after="0"/>
              <w:rPr>
                <w:sz w:val="17"/>
                <w:szCs w:val="17"/>
                <w:color w:val="auto"/>
              </w:rPr>
            </w:pPr>
          </w:p>
        </w:tc>
        <w:tc>
          <w:tcPr>
            <w:tcW w:w="28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Performance-Based</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19"/>
                <w:szCs w:val="19"/>
                <w:color w:val="auto"/>
              </w:rPr>
            </w:pPr>
          </w:p>
        </w:tc>
        <w:tc>
          <w:tcPr>
            <w:tcW w:w="280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8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Restricted Stock Units</w:t>
            </w: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4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Value at Grant</w:t>
            </w: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Average</w:t>
            </w:r>
          </w:p>
        </w:tc>
        <w:tc>
          <w:tcPr>
            <w:tcW w:w="1440" w:type="dxa"/>
            <w:vAlign w:val="bottom"/>
            <w:gridSpan w:val="2"/>
            <w:vMerge w:val="continue"/>
          </w:tcPr>
          <w:p>
            <w:pPr>
              <w:spacing w:after="0"/>
              <w:rPr>
                <w:sz w:val="15"/>
                <w:szCs w:val="15"/>
                <w:color w:val="auto"/>
              </w:rPr>
            </w:pPr>
          </w:p>
        </w:tc>
        <w:tc>
          <w:tcPr>
            <w:tcW w:w="13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3"/>
              </w:rPr>
              <w:t>Value at Grant</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Date</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2"/>
              </w:rPr>
              <w:t>Awards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w w:val="95"/>
              </w:rPr>
              <w:t>Outstanding as of December 31,</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109,920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28.20</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199,764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8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99,289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Vested/Exercised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Outstanding as of March 31,</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109,920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28.20</w:t>
            </w: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199,764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99,289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33.44</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share-based compensation expense at March 31, 2021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Unrecognized Share-based</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w w:val="97"/>
              </w:rPr>
              <w:t>Weighted Average Amortization</w:t>
            </w:r>
          </w:p>
        </w:tc>
      </w:tr>
      <w:tr>
        <w:trPr>
          <w:trHeight w:val="230"/>
        </w:trPr>
        <w:tc>
          <w:tcPr>
            <w:tcW w:w="5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Compensation Expense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Period</w:t>
            </w:r>
          </w:p>
        </w:tc>
      </w:tr>
      <w:tr>
        <w:trPr>
          <w:trHeight w:val="223"/>
        </w:trPr>
        <w:tc>
          <w:tcPr>
            <w:tcW w:w="57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 years</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3.75 years</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36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9"/>
                <w:szCs w:val="19"/>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 years</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 unrecognized share-based compensation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8,666</w:t>
            </w:r>
          </w:p>
        </w:tc>
        <w:tc>
          <w:tcPr>
            <w:tcW w:w="100" w:type="dxa"/>
            <w:vAlign w:val="bottom"/>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 years</w:t>
            </w:r>
          </w:p>
        </w:tc>
      </w:tr>
      <w:tr>
        <w:trPr>
          <w:trHeight w:val="20"/>
        </w:trPr>
        <w:tc>
          <w:tcPr>
            <w:tcW w:w="5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7—Net Income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Restated and Amended Certificate of Incorporation and as a result of the reverse recapitalization, the Company has retrospectively adjusted the weighted average shares outstanding prior to June 10, 2020 to give effect to the exchange ratio used to determine the number of shares of common stock into which they were converted.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during the period. Diluted net income per share is computed based on the weighted average number of common shares outstanding plus the effect of potential dilutive common shares outstanding during the period using the applicable methods.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net income per share attributable to common stockholders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CCEEFF"/>
            </w:tcBorders>
            <w:gridSpan w:val="4"/>
            <w:shd w:val="clear" w:color="auto" w:fill="CCEEFF"/>
          </w:tcPr>
          <w:p>
            <w:pPr>
              <w:jc w:val="right"/>
              <w:ind w:right="430"/>
              <w:spacing w:after="0"/>
              <w:rPr>
                <w:sz w:val="20"/>
                <w:szCs w:val="20"/>
                <w:color w:val="auto"/>
              </w:rPr>
            </w:pPr>
            <w:r>
              <w:rPr>
                <w:rFonts w:ascii="Arial" w:cs="Arial" w:eastAsia="Arial" w:hAnsi="Arial"/>
                <w:sz w:val="14"/>
                <w:szCs w:val="14"/>
                <w:i w:val="1"/>
                <w:iCs w:val="1"/>
                <w:color w:val="auto"/>
                <w:w w:val="97"/>
              </w:rPr>
              <w:t>(in thousands, except shares and per share data)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Basic net income per share:</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80" w:type="dxa"/>
            <w:vAlign w:val="bottom"/>
            <w:gridSpan w:val="3"/>
          </w:tcPr>
          <w:p>
            <w:pPr>
              <w:ind w:left="5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12,862</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8,172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3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Preferred distribution to redeemable convertible Series C preferred units</w:t>
            </w:r>
          </w:p>
        </w:tc>
        <w:tc>
          <w:tcPr>
            <w:tcW w:w="32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gridSpan w:val="3"/>
          </w:tcPr>
          <w:p>
            <w:pPr>
              <w:ind w:left="500"/>
              <w:spacing w:after="0"/>
              <w:rPr>
                <w:sz w:val="20"/>
                <w:szCs w:val="20"/>
                <w:color w:val="auto"/>
              </w:rPr>
            </w:pPr>
            <w:r>
              <w:rPr>
                <w:rFonts w:ascii="Arial" w:cs="Arial" w:eastAsia="Arial" w:hAnsi="Arial"/>
                <w:sz w:val="18"/>
                <w:szCs w:val="18"/>
                <w:color w:val="auto"/>
                <w:w w:val="92"/>
              </w:rPr>
              <w:t>Non-cash adjustment to redemption amount of the redeemable convertible Series C preferred</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gridSpan w:val="3"/>
          </w:tcPr>
          <w:p>
            <w:pPr>
              <w:ind w:left="500"/>
              <w:spacing w:after="0"/>
              <w:rPr>
                <w:sz w:val="20"/>
                <w:szCs w:val="20"/>
                <w:color w:val="auto"/>
              </w:rPr>
            </w:pPr>
            <w:r>
              <w:rPr>
                <w:rFonts w:ascii="Arial" w:cs="Arial" w:eastAsia="Arial" w:hAnsi="Arial"/>
                <w:sz w:val="18"/>
                <w:szCs w:val="18"/>
                <w:color w:val="auto"/>
              </w:rPr>
              <w:t>units</w:t>
            </w:r>
          </w:p>
        </w:tc>
        <w:tc>
          <w:tcPr>
            <w:tcW w:w="3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47,537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3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12,862</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38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3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126,803,096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37,631,052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gridSpan w:val="3"/>
          </w:tcPr>
          <w:p>
            <w:pPr>
              <w:ind w:left="160"/>
              <w:spacing w:after="0"/>
              <w:rPr>
                <w:sz w:val="20"/>
                <w:szCs w:val="20"/>
                <w:color w:val="auto"/>
              </w:rPr>
            </w:pPr>
            <w:r>
              <w:rPr>
                <w:rFonts w:ascii="Arial" w:cs="Arial" w:eastAsia="Arial" w:hAnsi="Arial"/>
                <w:sz w:val="18"/>
                <w:szCs w:val="18"/>
                <w:b w:val="1"/>
                <w:bCs w:val="1"/>
                <w:color w:val="auto"/>
              </w:rPr>
              <w:t>Basic net income per share attributable to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0.10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0.40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80" w:type="dxa"/>
            <w:vAlign w:val="bottom"/>
            <w:gridSpan w:val="3"/>
          </w:tcPr>
          <w:p>
            <w:pPr>
              <w:ind w:left="5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12,862</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8,172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80" w:type="dxa"/>
            <w:vAlign w:val="bottom"/>
            <w:gridSpan w:val="3"/>
          </w:tcPr>
          <w:p>
            <w:pPr>
              <w:ind w:left="500"/>
              <w:spacing w:after="0"/>
              <w:rPr>
                <w:sz w:val="20"/>
                <w:szCs w:val="20"/>
                <w:color w:val="auto"/>
              </w:rPr>
            </w:pPr>
            <w:r>
              <w:rPr>
                <w:rFonts w:ascii="Arial" w:cs="Arial" w:eastAsia="Arial" w:hAnsi="Arial"/>
                <w:sz w:val="18"/>
                <w:szCs w:val="18"/>
                <w:color w:val="auto"/>
              </w:rPr>
              <w:t>Basic weighted average common shares</w:t>
            </w:r>
          </w:p>
        </w:tc>
        <w:tc>
          <w:tcPr>
            <w:tcW w:w="3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126,803,096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37,631,052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3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Dilutive effect of outstanding Time-Based Restricted Stock Units</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80" w:type="dxa"/>
            <w:vAlign w:val="bottom"/>
            <w:gridSpan w:val="3"/>
          </w:tcPr>
          <w:p>
            <w:pPr>
              <w:ind w:left="500"/>
              <w:spacing w:after="0"/>
              <w:rPr>
                <w:sz w:val="20"/>
                <w:szCs w:val="20"/>
                <w:color w:val="auto"/>
              </w:rPr>
            </w:pPr>
            <w:r>
              <w:rPr>
                <w:rFonts w:ascii="Arial" w:cs="Arial" w:eastAsia="Arial" w:hAnsi="Arial"/>
                <w:sz w:val="18"/>
                <w:szCs w:val="18"/>
                <w:color w:val="auto"/>
                <w:w w:val="99"/>
              </w:rPr>
              <w:t>Dilutive effect of retroactively restated redeemable convertible Series C preferred units</w:t>
            </w:r>
          </w:p>
        </w:tc>
        <w:tc>
          <w:tcPr>
            <w:tcW w:w="320" w:type="dxa"/>
            <w:vAlign w:val="bottom"/>
          </w:tcPr>
          <w:p>
            <w:pPr>
              <w:spacing w:after="0"/>
              <w:rPr>
                <w:sz w:val="23"/>
                <w:szCs w:val="23"/>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14,278,603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380" w:type="dxa"/>
            <w:vAlign w:val="bottom"/>
            <w:tcBorders>
              <w:top w:val="single" w:sz="8" w:color="CCEEFF"/>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126,837,832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51,909,655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3"/>
          </w:tcPr>
          <w:p>
            <w:pPr>
              <w:ind w:left="160"/>
              <w:spacing w:after="0"/>
              <w:rPr>
                <w:sz w:val="20"/>
                <w:szCs w:val="20"/>
                <w:color w:val="auto"/>
              </w:rPr>
            </w:pPr>
            <w:r>
              <w:rPr>
                <w:rFonts w:ascii="Arial" w:cs="Arial" w:eastAsia="Arial" w:hAnsi="Arial"/>
                <w:sz w:val="18"/>
                <w:szCs w:val="18"/>
                <w:b w:val="1"/>
                <w:bCs w:val="1"/>
                <w:color w:val="auto"/>
              </w:rPr>
              <w:t>Diluted net income per share attributable to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0.10</w:t>
            </w: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pre-merger LLC membership structure included several different types of LLC interests including ownership interests and profits interests. The Company analyzed the calculation of earnings per unit by using the two-class method for the three months ended March 31, 2020 and determined that it resulted in values that would not be comparable to the same periods in 2021 and therefore not meaningful to the users of these condensed consolidated financial statements. As a result, the Open Lending, LLC’s net income per share information has not been presented for any period.</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potentially dilutive outstanding securities as of March 31, 2021 and 2020 were excluded from the computation of diluted net income per share because their effect would have been anti-dilutive for the periods presented, or issuance of such shares is contingent upon the satisfaction of certain conditions which were not satisfied by the end of the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 Options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99,289</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299,053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rPr>
              <w:t>—</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 Stock Repurchase Agreement, dated as of March 29, 2021, between Open Lending and the selling stockholders named therein, the Company repurchased from the selling stockholders on April 6, 2021 an aggregate number of 612,745 shares of common stock. The repurchased shares were recorded in treasury stock in April 2021, which would have changed the number of common shares or potential common shares outstanding at the end of the current reporting period if the transaction had occurred before March 31,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8—Fair Value of Financial Instruments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76"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63" w:lineRule="exact"/>
        <w:rPr>
          <w:rFonts w:ascii="Arial" w:cs="Arial" w:eastAsia="Arial" w:hAnsi="Arial"/>
          <w:sz w:val="18"/>
          <w:szCs w:val="18"/>
          <w:color w:val="auto"/>
        </w:rPr>
      </w:pPr>
    </w:p>
    <w:p>
      <w:pPr>
        <w:ind w:left="1140" w:right="220" w:hanging="484"/>
        <w:spacing w:after="0" w:line="263"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 w:lineRule="exact"/>
        <w:rPr>
          <w:rFonts w:ascii="Arial" w:cs="Arial" w:eastAsia="Arial" w:hAnsi="Arial"/>
          <w:sz w:val="18"/>
          <w:szCs w:val="18"/>
          <w:color w:val="auto"/>
        </w:rPr>
      </w:pPr>
    </w:p>
    <w:p>
      <w:pPr>
        <w:ind w:left="1140" w:right="340" w:hanging="484"/>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the Company’s debt instruments at March 31, 2021 and December 31, 2020.</w:t>
      </w:r>
    </w:p>
    <w:p>
      <w:pPr>
        <w:spacing w:after="0" w:line="179"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Fair value measurements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Carrying value</w:t>
            </w: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9"/>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9"/>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173,337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173,337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173,337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173,337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6"/>
        </w:trPr>
        <w:tc>
          <w:tcPr>
            <w:tcW w:w="49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Carrying value</w:t>
            </w:r>
          </w:p>
        </w:tc>
        <w:tc>
          <w:tcPr>
            <w:tcW w:w="320" w:type="dxa"/>
            <w:vAlign w:val="bottom"/>
            <w:tcBorders>
              <w:top w:val="single" w:sz="8" w:color="auto"/>
              <w:bottom w:val="single" w:sz="8" w:color="auto"/>
            </w:tcBorders>
          </w:tcPr>
          <w:p>
            <w:pPr>
              <w:spacing w:after="0"/>
              <w:rPr>
                <w:sz w:val="24"/>
                <w:szCs w:val="24"/>
                <w:color w:val="auto"/>
              </w:rPr>
            </w:pPr>
          </w:p>
        </w:tc>
        <w:tc>
          <w:tcPr>
            <w:tcW w:w="4360" w:type="dxa"/>
            <w:vAlign w:val="bottom"/>
            <w:tcBorders>
              <w:top w:val="single" w:sz="8" w:color="auto"/>
              <w:bottom w:val="single" w:sz="8" w:color="auto"/>
            </w:tcBorders>
            <w:gridSpan w:val="7"/>
          </w:tcPr>
          <w:p>
            <w:pPr>
              <w:jc w:val="center"/>
              <w:ind w:right="236"/>
              <w:spacing w:after="0"/>
              <w:rPr>
                <w:sz w:val="20"/>
                <w:szCs w:val="20"/>
                <w:color w:val="auto"/>
              </w:rPr>
            </w:pPr>
            <w:r>
              <w:rPr>
                <w:rFonts w:ascii="Arial" w:cs="Arial" w:eastAsia="Arial" w:hAnsi="Arial"/>
                <w:sz w:val="18"/>
                <w:szCs w:val="18"/>
                <w:b w:val="1"/>
                <w:bCs w:val="1"/>
                <w:color w:val="auto"/>
                <w:w w:val="89"/>
              </w:rPr>
              <w:t>Fair value measurements December 31, 2020</w:t>
            </w: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9"/>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9"/>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157,747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157,747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carrying amount of the Company’s debt approximates its fair value due to its variable interest rate that is tied to the current LIBOR rate plus an applicable spread. The Company’s accounting policy is to recognize transfers between levels of the fair value hierarchy on the date of the event or change in circumstances that caused the transfer. There were no transfers into or out of any level for the periods ended March 31, 2021 and December 31,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long-lived asset which is being measured at fair value on a recurring basis.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2021 and 2020, the Company recognized income tax expense of $4.5 million and $11.0 thousand resulting in effective tax rates of 25.8%, and 0.1%, respectively. The Company’s income tax expense for the three months ended March 31, 2021 differs from amounts computed by applying the U.S. federal statutory tax rate of 21% primarily due to the officer’s compensation limitation under Section 162m and state income tax expenses. The Company’s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for the three months ended March 31, 2020 differs from amounts computed by applying the U.S. federal statutory tax rate of 21% primarily due to the flow-thru entity structure prior to the Business Combination.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2021, the Company has assessed whether it is more likely than not that our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March 31, 2021.</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has evaluated the aggregate exposure for uncertain tax positions for all open tax years and concluded that the Company and its predecessor have no material uncertain tax positions as of March 31, 2021 or for any open tax years. Tax penalties and interest, if any, would be reflected in the condensed consolidated statements of operations and comprehensive income in other expenses. The Company has not recorded any penalties or interest related to uncertain tax positions as of March 31, 2021 or for any open tax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 Party Transactions</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25, 2020, Ross Jessup, the Company’s President, borrowed $6.0 million from Open Lending, LLC in accordance with the promissory note in place and the loan was paid in full by Mr. Jessup on March 30, 2020, with proceeds received as result of the non-liquidating distribution paid by Open Lending, LLC to its members.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There was no such activity for the three months ended March 31, 2021.</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11—Tax Receivable Agreement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Business Combination, the Company entered into the Tax Receivable Agreement (“TRA”). The TRA generally provides for the payment by the Company to the Open Lending LLC unitholders and Blocker’s sole shareholder (the “TRA holders”), as applicable, of 85% of the net cash savings, if any, in U.S. federal, state and local income tax that the Company actually realizes (or are deemed to realize in certain circumstances) in periods after the Closing as a result of: (i) certain tax attributes of Blocker and/or Open Lending, LLC that existed prior to the Business Combination and were attributable to the Blocker; (ii) certain increases in the tax basis of Open Lending, LLC’s assets resulting from the Transactions; (iii) imputed interest deemed to be paid by the Company as a result of payments the Company makes under the Tax Receivable Agreement; and (iv) certain increases in tax basis resulting from payments the Company makes under the Tax Receivable Agreement. The Company will retain the benefit of the remaining 15% of these cash savings. The liability for the TRA was $92.4 million at each of March 31, 2021 and December 31, 2020, respectively, which is classified as other non-current liabilities on our condensed consolidated balance sheet.</w:t>
      </w:r>
    </w:p>
    <w:p>
      <w:pPr>
        <w:spacing w:after="0" w:line="73"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21">
        <w:r>
          <w:rPr>
            <w:rFonts w:ascii="Arial" w:cs="Arial" w:eastAsia="Arial" w:hAnsi="Arial"/>
            <w:sz w:val="18"/>
            <w:szCs w:val="18"/>
            <w:u w:val="single" w:color="auto"/>
            <w:color w:val="0000FF"/>
          </w:rPr>
          <w:t>Note 12—Subsequent Events—Tax Receivable Agreement Amendment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regarding an amendment to the Tax Receivable Agreement that was entered into on April 9,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has evaluated subsequent events through the date these condensed consolidated financial statements were issued. The Company determined there were no events, other than described below, that required disclosure or recognition in these condensed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w:t>
      </w:r>
      <w:r>
        <w:rPr>
          <w:rFonts w:ascii="Arial" w:cs="Arial" w:eastAsia="Arial" w:hAnsi="Arial"/>
          <w:sz w:val="18"/>
          <w:szCs w:val="18"/>
          <w:color w:val="auto"/>
        </w:rPr>
        <w:t>g</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April 6, 2021, the Company completed an underwritten public offering of 9,000,000 shares of our common stock at a public offering price of $34.00 per share. All shares were sold by existing stockholders, including Nebula Holdings, LLC and its affiliates, Bregal Sagemount and certain executive officers of the Company. The selling stockholders also granted the underwriters a 30-day option to purchase up to 1,350,000 additional shares of common stock. The Company did not issue any shares and did not receive any of the proceeds of the offering.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 Stock Repurchase Agreement, dated as of March 29, 2021, between Open Lending and the selling stockholders named therein, the Company repurchased from the selling stockholders on April 6, 2021 an aggregate number of 612,745 shares of its common stock totaling $20.0 million at the same per share price paid by the underwriters to the selling stockholders in the offering. The $20.0 million stock repurchase was recorded in treasury stock at cost in April of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 Amendment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entered into Amendment No. 1 (the “Amendment”) to the TRA effective April 9, 2021. The Amendment provides that in lieu of early termination payments, the TRA Holders will instead be entitled to payments equal to 40% of all Tax Benefit Payments (all definitions used here in and otherwise not defined here in shall have the meanings set forth in the Amendment) other than any Actual Interest Amounts that would be required to be paid by the Company under the TRA, using certain valuation. The Amendment provides the Company with the right to terminate and settle all present and future obligations under the TRA with a single payment by the Company to the TRA Holders of $36.9 million (the “Early Termination Right”). Absent the Amendment and the exercise of the Early Termination Right, the Company anticipated making TRA payments totaling $92.4 million, undiscounted, over the life of the TRA.</w:t>
      </w:r>
    </w:p>
    <w:p>
      <w:pPr>
        <w:spacing w:after="0" w:line="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12, 2021, the independent committee of the Board of Directors approved the Company’s decision to exercise the Early Termination Right. As required by the TRA, in April 2021, the Company provided notice of early termination to the TRA Holders, with settlement occurring in April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following discussion and analysis provides information which management believes is relevant to an assessment and understanding of Open Lending Corporation’s condensed consolidated results of operations and financial condition. The discussion should be read in conjunction with the condensed consolidated financial statements and notes thereto on Form 10-K for the year ended December 31, 2020. This discussion contains forward-looking statements and involves numerous risks and uncertainties, including, but not limited to, those described under the heading “Risk Factors” set forth elsewhere in this Quarterly Report on Form 10-Q.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condensed consolidated subsidiaries.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87"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our strategy, future operations, financial position, estimated revenues and losses, projected costs, prospects and plans;</w:t>
      </w:r>
    </w:p>
    <w:p>
      <w:pPr>
        <w:spacing w:after="0" w:line="128" w:lineRule="exact"/>
        <w:rPr>
          <w:rFonts w:ascii="Arial" w:cs="Arial" w:eastAsia="Arial" w:hAnsi="Arial"/>
          <w:sz w:val="17"/>
          <w:szCs w:val="17"/>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growth in loan volume from OEM Captives relative to that of other automotive lenders, and associated concentration of risks;</w:t>
      </w:r>
    </w:p>
    <w:p>
      <w:pPr>
        <w:spacing w:after="0" w:line="128" w:lineRule="exact"/>
        <w:rPr>
          <w:rFonts w:ascii="Arial" w:cs="Arial" w:eastAsia="Arial" w:hAnsi="Arial"/>
          <w:sz w:val="17"/>
          <w:szCs w:val="17"/>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our program fee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and administrative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and marketing expenses in absolute dollars and as a percentage of program fee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development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turnover in automotive lenders, as well as varying activation rates and volatility in usage of our LPP platform by automotive lenders;</w:t>
      </w:r>
    </w:p>
    <w:p>
      <w:pPr>
        <w:spacing w:after="0" w:line="140" w:lineRule="exact"/>
        <w:rPr>
          <w:rFonts w:ascii="Arial" w:cs="Arial" w:eastAsia="Arial" w:hAnsi="Arial"/>
          <w:sz w:val="16"/>
          <w:szCs w:val="16"/>
          <w:color w:val="auto"/>
        </w:rPr>
      </w:pPr>
    </w:p>
    <w:p>
      <w:pPr>
        <w:ind w:left="1140" w:right="2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including such legal proceedings that may be instituted in connection with the Business Combination and transactions contemplated thereby;</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associated with Open Lending’s growth as a result of demands on its operational, marketing, compliance and accounting infrastructure;</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agreements between Open Lending and state agencies regarding issues including automotive lender conduct and oversight and loan pricing;</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are based on information and estimates available to the Company at the time of this Quarterly Report on Form 10-Q and are not guarantees of future financial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on Form 10-Q. We caution you that the foregoing list may not contain all of the forward-looking statements made in this Quarterly Report on Form 10-Q. You should not rely upon forward-looking statements as predictions of future events.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leading provider of lending enablement and risk analytics to credit unions, regional banks and OEM Captives. Our clients, collectively referred to herein as automotive lenders, make automotive consumer loans to underserved near-prime and non-prime borrowers by harnessing our risk-based pricing models, powered by our proprietary data and real-time underwriting of automotive loan default insurance coverage from insurers. Since our inception in 2000, we have facilitated over $10.0 billion in automotive loans, accumulating over 20 years of proprietary data and developing over two million unique risk profiles. We currently cater to over 360 active automotive lenders.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specialize in risk-based pricing and modeling and provide automated decision-technology for automotive lenders throughout the United States. We believe that we address the financing needs of near-prime and non-prime borrowers, or borrowers with a credit bureau score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that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flagship product, LPP, enables automotive lenders to make loans that are largely insured against losses from defaults. We have been developing and advancing the proprietary underwriting models used by LPP for approximately 20 years. We believe LPP provides significant benefits to our growing ecosystem of automotive lenders, automobile dealers and insurers.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element of LPP is the ability to facilitate risk-based interest rates that are appropriate for each loan and lender and electronically submitted to our automotive lenders within approximately five seconds after we receive a loan application. Our interest rate pricing is customized to each automotive lender, reflecting the cost of capital, loan servicing costs, loan acquisition costs, expected recovery rates and target return on assets of each automotive lender. Using our risk models, we project monthly loan performance results, including expected losses and prepayments for automotive lenders that use LPP. The product of this process is a risk-based interest rate, inclusive of elements to recover all projected costs, program fees and insurance premiums, given the risk of the loan, to return a targeted return on asset goal.</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that our market opportunity is significant. The near-prime and non-prime automotive loan market is $250 billion annually, resulting in an approximately $14.4 billion annual revenue opportunity. We are currently serving less than 1% of this market, providing a significant growth opportunity.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facilitate certified loans and have achieved financial success by increasing our penetration of the near-prime and non-prime automotive loan market while diversifying our customer base and refining our data analysis capabilities.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facilitated 33,318 certified loans during the three months ended March 31, 2021, as compared to 28,024 certified loans during the three months ended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Total revenue was $44.0 million for three months ended March 31, 2021, as compared to $17.4 million during the three months ended March 31, 2020.</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was $29.4 million for three months ended March 31, 2021, as compared to $8.9 million in the three months ended March 31, 2020.</w:t>
      </w:r>
    </w:p>
    <w:p>
      <w:pPr>
        <w:spacing w:after="0" w:line="1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income was $12.9 million for three months ended March 31, 2021, as compared to net income of $8.2 million for the three months ended March 31, 2020.</w:t>
      </w:r>
    </w:p>
    <w:p>
      <w:pPr>
        <w:spacing w:after="0" w:line="6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Adjusted EBITDA was $30.3 million for the three months ended March 31, 2021, as compared to $9.6 million during the three months ended March 31, 2020. Information regarding use of Adjusted EBITDA, a non-GAAP measure, and a reconciliation of Adjusted EBITDA to net income, the most comparable GAAP measure, is included in </w:t>
      </w:r>
      <w:r>
        <w:rPr>
          <w:rFonts w:ascii="Arial" w:cs="Arial" w:eastAsia="Arial" w:hAnsi="Arial"/>
          <w:sz w:val="18"/>
          <w:szCs w:val="18"/>
          <w:i w:val="1"/>
          <w:iCs w:val="1"/>
          <w:color w:val="auto"/>
        </w:rPr>
        <w:t>“Non-GAAP Financial Measures.”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the total dollar value of insured loans facilitated and the number of contracts signed with automotive lenders during the three months ended March 31, 2021 and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179"/>
        </w:trPr>
        <w:tc>
          <w:tcPr>
            <w:tcW w:w="78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i w:val="1"/>
                <w:iCs w:val="1"/>
                <w:color w:val="auto"/>
              </w:rPr>
              <w:t>(in thousands, except number of contracts)</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insured loans facilitated (1)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780,341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627,054</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74"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Value of insured loans are calculated as the total original loan amount with active institutions as of the end of each reporting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they are used to measure and model the performance of companies such as Open Lending, with recurring revenue streams.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Loans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to “automotive loans” as the number of loans facilitated through LPP during a given period. Additionally, we refer to loans with a one-time upfront payment as “single-pay” loans and those paid over twelve monthly installments as “monthly-pay” loans.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Program Fee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define “average program fee” as the total program fee revenue recognized for a period divided by the number of certified loans in that period.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Insurers’ Aggregate Underwriting Profit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“insurers’ aggregate underwriting profit” as the total underwriting profit expected to be received by insurers over the expected life of the insured loans.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Insurers’ Earned Premium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define “insurers’ annual earned premium” as the total insurance premium earned by insurers in a given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due 2027</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March 11, 2020, the Company entered into a credit agreement with UBS A.G. as the administrative agent and the lenders from time to time party thereto (the “Credit Agreement”). Pursuant to the credit agreement, the lenders thereto funded a term loan (the “Term Loan due 2027”) in a principal amount of $170.0 million bearing an interest rate per annum of LIBOR plus 6.5% (subject to a LIBOR floor of 1%), with a maturity date in March 2027. The Term Loan due 2027 was retired by the Company paying off its outstanding principal and interest with proceeds from issuance of the Term Loan due 2026 and the Revolving Facility (both as defined below) in March 2021. The transaction was deemed as a debt extinguishment under ASC Topic 405-20, “Liabilities—Extinguishments of Liabilities,” and accordingly, the Company recognized a non-cash debt extinguishment loss of $8.8 million, which was recorded under the caption loss on extinguishment of debt in the condensed consolidated statements of operations and comprehensive Income. The loss on debt extinguishment was calculated as the difference between the carrying amount of the debt and the price paid to retire the debt, which primarily consisted of the write off of the unamortized deferred financing costs related to the Term Loan due 2027.</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Agreement—Term Loan due 2026 and Revolving Credit Facility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March 19, 2021, the Company entered into a credit agreement with Wells Fargo Bank, N.A. as the administrative agent (the “New Credit Agreement”),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“Revolving Facility”). The obligations of the Company under the Term Loan due 2026 and the Revolving Facility are guaranteed by all of the Company’s US subsidiaries and are secured by substantially all of the assets of the Company and its US subsidiaries, subject to customary exceptions.</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Interest under the Term Loan due 2026 and the Revolving Facility are, at the option of the Company, either at an Alternate Base rate (“ABR”) plus a spread ranging from 0.75% to 1.50%, or a LIBOR rate plus a spread ranging from 1.75% to 2.50%. With respect to the ABR loans, interest will be payable at the end of each calendar quarter. With respect to the LIBOR loans, interest will be payable at the end of the selected interest period. Additionally, there is a commitment fee payable at the end of each quarter at a rate per annum ranging from 0.200% to 0.275% based on the average daily unused portion of the Revolving Facility, and other customary letter of credit fees. Pursuant to the New Credit Agreement, the interest rate spreads and commitment fees increase or decrease in increments as our Funded Secured Debt/EBITDA ratio increase or decreases. As of March 31, 2021, both the Term Loan due 2026 and the Revolving Facility are subject a LIBOR rate of 0.11% plus a spread of 2.00% per annum, and we do not have an unused commitment balance under the Revolving Facility.</w:t>
      </w:r>
    </w:p>
    <w:p>
      <w:pPr>
        <w:spacing w:after="0" w:line="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issuance of the Term Loan due 2026 and the Revolving Facility, the Company incurred total deferred financing costs of $1.7 million, of which $1.2 million was allocated to the Term Loan due 2026 and $0.5 million was allocated to the Revolving Facility. The deferred financing costs were capitalized as a contra-liability against the principal balance of the loans and are amortized as interest expense using the effective interest method. As of March 31, 2021, the weighted average effective interest rate on our outstanding borrowings was 2.39%.</w:t>
      </w:r>
    </w:p>
    <w:p>
      <w:pPr>
        <w:spacing w:after="0" w:line="6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New Credit Agreement contains a maximum total net leverage ratio financial covenant and a minimum fixed charge coverage ratio financial covenant that are tested quarterly starting with the quarter ending June 30, 2021. The maximum total net leverage ratio is 3.5 to 1.0 for periods on or prior to December 31, 2022, and then decreases to 3.0 to 1.0 after December 31, 2022. The minimum fixed charge coverage ratio is 1.25 to 1.0.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2021, we completed an underwritten public offering of 9,000,000 shares of our common stock at a public offering price of $34.00 per share. All shares were sold by existing stockholders, including Nebula Holdings, LLC and its affiliates, Bregal Sagemount and certain executive officers of the Company. The selling stockholders also granted the underwriters a 30-day option to purchase up to 1,350,000 additional shares of common stock. We did not issue any shares and did not receive any of the proceeds of the offering.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a Stock Repurchase Agreement, dated as of March 29, 2021, between Open Lending and the selling stockholders, we repurchased from the selling stockholders on April 6, 2021 an aggregate number of 612,745 shares of its common stock totaling $20.0 million at the same per share price paid by the underwriters to the selling stockholders in the offering. The $20.0 million stock repurchase was recorded in treasury stock at cost in April of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Amendment</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entered into Amendment No. 1 (the “Amendment”) to the TRA effective April 9, 2021. The Amendment provides that in lieu of early termination payments, the TRA Holders will instead be entitled to payments equal to 40% of all Tax Benefit Payments (all definitions used here in and otherwise not defined here in shall have the meanings set forth in the Amendment) other than any Actual Interest Amounts that would be required to be paid by the us under the TRA, using certain valuation. The Amendment provides us with the right to terminate and settle all present and future obligations under the TRA with a single payment by us to the TRA Holders of $36.9 million (the “Early Termination Right”). Absent the Amendment and the exercise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of the Early Termination Right, we anticipated making TRA payments totaling $92.4 million, undiscounted, over the life of the TRA.</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12, 2021, the independent committee of the Board of Directors approved our decision to exercise the Early Termination Right. As required by the TRA, in April 2021, we provided notice of early termination to the TRA Holders, with settlement occurring in April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Outbreak</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outbreak of the novel coronavirus (“COVID-19”) has led to adverse impacts on the U.S. and global economies and created uncertainty regarding potential impacts on our operating results, financial condition and cash flows. The extent of the impact of the COVID-19 pandemic on our operational and financial performance will depend on certain developments, including the duration and continued spread of the disease, the impact on our revenues which are generated with automobile lenders and insurance company partners and driven by consumer demand for automobiles and automotive loans, extended closures of businesses, the effectiveness of the vaccine distribution program and the vaccines themselves, rising unemployment and the overall impact on our customer behavior, all of which are uncertain and cannot be predicted. We are diligently working to ensure that we can continue to operate with minimal disruption, mitigate the impact of the pandemic on our employees’ health and safety, and address potential business interruptions on ourselves and our customers. We believe that the COVID-19 pandemic, the mitigation efforts and the resulting economic impact have had, and may continue to have, an overall adverse effect on our business, results of operations and financial condition. We saw a reduction in loan applications and certified loans throughout the majority of 2020. As consumers and lenders have adjusted to the pandemic, application and certification levels have increased, but are not back to pre-pandemic levels when comparing existing lending institutions to the same lending institution’s prior year performance. Lenders’ forbearance programs, government stimulus packages, extended unemployment benefits and other government assistance via the Cares Act signed into law by the President of the United States on March 27, 2020 and the American Rescue Plan Act of 2021 signed into law by the President of the United States on March 11, 2021 have resulted in a reduction in expected defaults since the onset of the pandemic. As these programs’ accessibility diminishes, defaults may increase. The potential increase in defaults may impact our revenues and subsequent recovery as the automotive finance industry and overall economy recover. We continue to closely monitor the current macro environment, particularly the impact of the recent COVID-19 pandemic on monetary and fiscal policies.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factors affecting our operating results include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growth trend in active automotive lenders using LPP is a critical variable directly affecting revenue and financial results. It influences the number of loans funded on LPP and, therefore, the fees that we earn and the cost of the services that we provide. Growth in our active automotive lender relationships will depend on our ability to retain existing automotive lenders, add new automotive lenders, and expand to new industry verticals.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face competition to acquire and maintain automotive lenders as well as competition to fund near-prime and non-prime auto loans. For LPP, which combines lending enablement, risk analytics, near-prime and non-prime auto loan performance data, real-time loan decisioning, risk-based pricing and auto loan default insurance, we do not believe there are any direct competitors. The emergence of direct competitors, providing risk, analytics and loss mitigation, which are core elements of our business, could materially impact our ability to acquire and maintain automotive lenders customers.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 Increased competition for loans, which reduce the ability of our automotive lenders to source loan application flow and or capture loans, could also materially and adversely impact our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7"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We rely on assumptions to calculate the value of profit share revenue, which is our share of insurance partners’ underwriting profit. To the extent these assumptions change, our profit share revenue will be adjusted. Please refer to “</w:t>
      </w:r>
      <w:hyperlink w:anchor="page34">
        <w:r>
          <w:rPr>
            <w:rFonts w:ascii="Arial" w:cs="Arial" w:eastAsia="Arial" w:hAnsi="Arial"/>
            <w:sz w:val="18"/>
            <w:szCs w:val="18"/>
            <w:i w:val="1"/>
            <w:iCs w:val="1"/>
            <w:u w:val="single" w:color="auto"/>
            <w:color w:val="0000FF"/>
          </w:rPr>
          <w:t>Critical Accounting Policies and Estimates</w:t>
        </w:r>
      </w:hyperlink>
      <w:r>
        <w:rPr>
          <w:rFonts w:ascii="Arial" w:cs="Arial" w:eastAsia="Arial" w:hAnsi="Arial"/>
          <w:sz w:val="18"/>
          <w:szCs w:val="18"/>
          <w:color w:val="auto"/>
        </w:rPr>
        <w:t>” for more information on these assumptions.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of operations have in the past been fairly resilient to economic downturns but in the future may be impacted by the relative strength of the overall economy and its effect on unemployment, consumer spending and consumer demand for automotive products. As general economic conditions improve or deteriorate, the amount of disposable income consumers have tends to fluctuate, which in turn impacts consumer spending levels and the willingness of consumers to take out loans to finance purchases. Specific economic factors such as interest rate levels, changes in monetary and related policies, market volatility, consumer confidence, the impact of the pandemic crisis and, particularly, the unemployment rate also influence consumer spending and borrowing patterns.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largest insurance partner accounted for the vast majority of our profit share and claims administration service fee revenue in the three months ended March 31, 2021. Termination or disruption of this relationship could materially adversely impact our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20"/>
        <w:spacing w:after="0" w:line="342" w:lineRule="auto"/>
        <w:rPr>
          <w:rFonts w:ascii="Arial" w:cs="Arial" w:eastAsia="Arial" w:hAnsi="Arial"/>
          <w:sz w:val="16"/>
          <w:szCs w:val="16"/>
          <w:color w:val="0000FF"/>
        </w:rPr>
      </w:pPr>
      <w:hyperlink w:anchor="page8">
        <w:r>
          <w:rPr>
            <w:rFonts w:ascii="Arial" w:cs="Arial" w:eastAsia="Arial" w:hAnsi="Arial"/>
            <w:sz w:val="16"/>
            <w:szCs w:val="16"/>
            <w:color w:val="auto"/>
          </w:rPr>
          <w:t xml:space="preserve">We conduct business through one operating segment, and we operate in one geographic region, the United States. See </w:t>
        </w:r>
        <w:r>
          <w:rPr>
            <w:rFonts w:ascii="Arial" w:cs="Arial" w:eastAsia="Arial" w:hAnsi="Arial"/>
            <w:sz w:val="16"/>
            <w:szCs w:val="16"/>
            <w:u w:val="single" w:color="auto"/>
            <w:color w:val="0000FF"/>
          </w:rPr>
          <w:t>Note 2—Summary of Significant</w:t>
        </w:r>
      </w:hyperlink>
      <w:r>
        <w:rPr>
          <w:rFonts w:ascii="Arial" w:cs="Arial" w:eastAsia="Arial" w:hAnsi="Arial"/>
          <w:sz w:val="16"/>
          <w:szCs w:val="16"/>
          <w:color w:val="auto"/>
        </w:rPr>
        <w:t xml:space="preserve"> </w:t>
      </w:r>
      <w:hyperlink w:anchor="page8">
        <w:r>
          <w:rPr>
            <w:rFonts w:ascii="Arial" w:cs="Arial" w:eastAsia="Arial" w:hAnsi="Arial"/>
            <w:sz w:val="16"/>
            <w:szCs w:val="16"/>
            <w:u w:val="single" w:color="auto"/>
            <w:color w:val="0000FF"/>
          </w:rPr>
          <w:t>Accounting and Reporting Policies and Recent Developments</w:t>
        </w:r>
        <w:r>
          <w:rPr>
            <w:rFonts w:ascii="Arial" w:cs="Arial" w:eastAsia="Arial" w:hAnsi="Arial"/>
            <w:sz w:val="16"/>
            <w:szCs w:val="16"/>
            <w:color w:val="000000"/>
          </w:rPr>
          <w:t>, of the accompanying condensed consolidated financial statements for more information.</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is generated through three streams: (i) program fees paid to us by lenders, (ii) profit share and (iii) claims administration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us by insurance partners.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Program fees</w:t>
      </w:r>
      <w:r>
        <w:rPr>
          <w:rFonts w:ascii="Arial" w:cs="Arial" w:eastAsia="Arial" w:hAnsi="Arial"/>
          <w:sz w:val="18"/>
          <w:szCs w:val="18"/>
          <w:color w:val="auto"/>
        </w:rPr>
        <w:t>. Program fees are paid by automotive lenders for use of our LPP and analytics. These fees are based on a percentage of each certified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principal balance and are recognized as revenue by us upfront upon receipt of the loan by the consumer. The fee percentage rate varies by type of loan. For loans with a one-time upfront payment, there is a sliding scale of rates representing volume discounts to the lender and with fees generally capped at $600 per loan. This cap may vary for certain large volume lenders. For loans with 12 monthly equal installments, the fee paid by the lender is a flat 3% of the total amount of the loan and is not capped.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lenders with credit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on loans the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insurers for credit default insurance claims adjudication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performed by our subsidiary Insurance Administrative Services, LLC on its insured servicing portfolio. The administration fee is equal to 3% of the monthly insurance earned premium for as long as the loan remains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 party resellers for lead-generation efforts, compensation and benefits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employees engaged in lenders’ services and claims administration activities, fees paid for actuarial services related to the development of the monthly premium program and fees for integration with loan origination systems of automotive lenders. We generally expect cost of services to increase in absolute dollars as the total number of certified loans continues to grow; however, we expect the cost of services to remain relatively constant in the near to immediate term as a percentage of our program fee revenue.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are comprised primarily of expenses relating to employee compensation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non-cash share-based compensation, travel, meals and entertainment expenses, IT expenses and professional and consulting fees. In the near term, we expect general and administrative expenses to increase in absolute dollar terms and as a percentage of revenue as we continue to implement the internal control, compliance and reporting requirements of public companies. In the intermediate term, we expect general and administrative expenses to continue to increase in absolute dollars as the total number of certified loans continues to grow.</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 selling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activities. We generally expect selling and marketing expenses to increase in absolute dollars as the total number of certified loans continues to grow in the long term; however, we expect selling and marketing expenses to remain constant in the near to immediate term as a percentage of program fee revenue.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of employee compensation and benefits expenses for employees engaged</w:t>
      </w:r>
      <w:r>
        <w:rPr>
          <w:rFonts w:ascii="Arial" w:cs="Arial" w:eastAsia="Arial" w:hAnsi="Arial"/>
          <w:sz w:val="18"/>
          <w:szCs w:val="18"/>
          <w:i w:val="1"/>
          <w:iCs w:val="1"/>
          <w:color w:val="auto"/>
        </w:rPr>
        <w:t xml:space="preserve"> </w:t>
      </w:r>
      <w:r>
        <w:rPr>
          <w:rFonts w:ascii="Arial" w:cs="Arial" w:eastAsia="Arial" w:hAnsi="Arial"/>
          <w:sz w:val="18"/>
          <w:szCs w:val="18"/>
          <w:color w:val="auto"/>
        </w:rPr>
        <w:t>in ongoing development of our software technology platform. We generally expect our research and development expenses to increase in absolute dollars as our business continues to grow.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debts.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Loss on extinguishment of debt primarily reflects unamortized deferred financing costs which were written off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refinancing of our Term Loan due 2027 on March 19,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Variance</w:t>
            </w:r>
          </w:p>
        </w:tc>
        <w:tc>
          <w:tcPr>
            <w:tcW w:w="11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Program fees</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14,911</w:t>
            </w:r>
          </w:p>
        </w:tc>
        <w:tc>
          <w:tcPr>
            <w:tcW w:w="100" w:type="dxa"/>
            <w:vAlign w:val="bottom"/>
          </w:tcPr>
          <w:p>
            <w:pPr>
              <w:spacing w:after="0"/>
              <w:rPr>
                <w:sz w:val="21"/>
                <w:szCs w:val="21"/>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12,712</w:t>
            </w:r>
          </w:p>
        </w:tc>
        <w:tc>
          <w:tcPr>
            <w:tcW w:w="14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Profit share</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Claims administration service fees</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17,430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152.5 %</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Cost of services</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14,935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25,711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172.2 %</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8,929</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20,517</w:t>
            </w:r>
          </w:p>
        </w:tc>
        <w:tc>
          <w:tcPr>
            <w:tcW w:w="100" w:type="dxa"/>
            <w:vAlign w:val="bottom"/>
          </w:tcPr>
          <w:p>
            <w:pPr>
              <w:spacing w:after="0"/>
              <w:rPr>
                <w:sz w:val="20"/>
                <w:szCs w:val="20"/>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229.8 %</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Other (expense) income</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(13,200.0) %</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111.8 %</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40,536.4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and comprehensive income</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12,862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4,690</w:t>
            </w: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57.4 %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2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three months ended March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6"/>
          </w:tcPr>
          <w:p>
            <w:pPr>
              <w:jc w:val="right"/>
              <w:ind w:right="7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ind w:right="453"/>
              <w:spacing w:after="0" w:line="16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5"/>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6"/>
          </w:tcPr>
          <w:p>
            <w:pPr>
              <w:jc w:val="right"/>
              <w:ind w:right="853"/>
              <w:spacing w:after="0"/>
              <w:rPr>
                <w:sz w:val="20"/>
                <w:szCs w:val="20"/>
                <w:color w:val="auto"/>
              </w:rPr>
            </w:pPr>
            <w:r>
              <w:rPr>
                <w:rFonts w:ascii="Arial" w:cs="Arial" w:eastAsia="Arial" w:hAnsi="Arial"/>
                <w:sz w:val="14"/>
                <w:szCs w:val="14"/>
                <w:i w:val="1"/>
                <w:iCs w:val="1"/>
                <w:color w:val="auto"/>
              </w:rPr>
              <w:t>(earned premium in thousands)</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64"/>
              <w:spacing w:after="0"/>
              <w:rPr>
                <w:sz w:val="20"/>
                <w:szCs w:val="20"/>
                <w:color w:val="auto"/>
              </w:rPr>
            </w:pPr>
            <w:r>
              <w:rPr>
                <w:rFonts w:ascii="Arial" w:cs="Arial" w:eastAsia="Arial" w:hAnsi="Arial"/>
                <w:sz w:val="18"/>
                <w:szCs w:val="18"/>
                <w:color w:val="auto"/>
                <w:w w:val="87"/>
              </w:rPr>
              <w:t>33,318</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28,024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Single-pay</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gridSpan w:val="3"/>
          </w:tcPr>
          <w:p>
            <w:pPr>
              <w:jc w:val="right"/>
              <w:ind w:right="64"/>
              <w:spacing w:after="0"/>
              <w:rPr>
                <w:sz w:val="20"/>
                <w:szCs w:val="20"/>
                <w:color w:val="auto"/>
              </w:rPr>
            </w:pPr>
            <w:r>
              <w:rPr>
                <w:rFonts w:ascii="Arial" w:cs="Arial" w:eastAsia="Arial" w:hAnsi="Arial"/>
                <w:sz w:val="18"/>
                <w:szCs w:val="18"/>
                <w:color w:val="auto"/>
                <w:w w:val="87"/>
              </w:rPr>
              <w:t>28,942</w:t>
            </w:r>
          </w:p>
        </w:tc>
        <w:tc>
          <w:tcPr>
            <w:tcW w:w="160" w:type="dxa"/>
            <w:vAlign w:val="bottom"/>
          </w:tcPr>
          <w:p>
            <w:pPr>
              <w:spacing w:after="0"/>
              <w:rPr>
                <w:sz w:val="21"/>
                <w:szCs w:val="21"/>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23,436</w:t>
            </w:r>
          </w:p>
        </w:tc>
        <w:tc>
          <w:tcPr>
            <w:tcW w:w="1260" w:type="dxa"/>
            <w:vAlign w:val="bottom"/>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Monthly-pay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64"/>
              <w:spacing w:after="0"/>
              <w:rPr>
                <w:sz w:val="20"/>
                <w:szCs w:val="20"/>
                <w:color w:val="auto"/>
              </w:rPr>
            </w:pPr>
            <w:r>
              <w:rPr>
                <w:rFonts w:ascii="Arial" w:cs="Arial" w:eastAsia="Arial" w:hAnsi="Arial"/>
                <w:sz w:val="18"/>
                <w:szCs w:val="18"/>
                <w:color w:val="auto"/>
              </w:rPr>
              <w:t>4,376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4,588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4"/>
              <w:spacing w:after="0"/>
              <w:rPr>
                <w:sz w:val="20"/>
                <w:szCs w:val="20"/>
                <w:color w:val="auto"/>
              </w:rPr>
            </w:pPr>
            <w:r>
              <w:rPr>
                <w:rFonts w:ascii="Arial" w:cs="Arial" w:eastAsia="Arial" w:hAnsi="Arial"/>
                <w:sz w:val="18"/>
                <w:szCs w:val="18"/>
                <w:color w:val="auto"/>
              </w:rPr>
              <w:t>448</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454</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Single-pay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64"/>
              <w:spacing w:after="0"/>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Monthly-pay</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4"/>
              <w:spacing w:after="0"/>
              <w:rPr>
                <w:sz w:val="20"/>
                <w:szCs w:val="20"/>
                <w:color w:val="auto"/>
              </w:rPr>
            </w:pPr>
            <w:r>
              <w:rPr>
                <w:rFonts w:ascii="Arial" w:cs="Arial" w:eastAsia="Arial" w:hAnsi="Arial"/>
                <w:sz w:val="18"/>
                <w:szCs w:val="18"/>
                <w:color w:val="auto"/>
              </w:rPr>
              <w:t>648</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610</w:t>
            </w:r>
          </w:p>
        </w:tc>
        <w:tc>
          <w:tcPr>
            <w:tcW w:w="126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partners’ total earned premium</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64"/>
              <w:spacing w:after="0"/>
              <w:rPr>
                <w:sz w:val="20"/>
                <w:szCs w:val="20"/>
                <w:color w:val="auto"/>
              </w:rPr>
            </w:pPr>
            <w:r>
              <w:rPr>
                <w:rFonts w:ascii="Arial" w:cs="Arial" w:eastAsia="Arial" w:hAnsi="Arial"/>
                <w:sz w:val="18"/>
                <w:szCs w:val="18"/>
                <w:color w:val="auto"/>
                <w:w w:val="87"/>
              </w:rPr>
              <w:t>45,754</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33,260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621"/>
        </w:trPr>
        <w:tc>
          <w:tcPr>
            <w:tcW w:w="530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Three Months Ended March 31, 2021 and 2020</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0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5"/>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4"/>
              </w:rPr>
              <w:t>$ Variance</w:t>
            </w:r>
          </w:p>
        </w:tc>
        <w:tc>
          <w:tcPr>
            <w:tcW w:w="12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Program fees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12,712</w:t>
            </w:r>
          </w:p>
        </w:tc>
        <w:tc>
          <w:tcPr>
            <w:tcW w:w="640" w:type="dxa"/>
            <w:vAlign w:val="bottom"/>
            <w:tcBorders>
              <w:bottom w:val="single" w:sz="8" w:color="CCEEFF"/>
            </w:tcBorders>
            <w:gridSpan w:val="3"/>
            <w:shd w:val="clear" w:color="auto" w:fill="CCEEFF"/>
          </w:tcPr>
          <w:p>
            <w:pPr>
              <w:jc w:val="right"/>
              <w:ind w:right="304"/>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17.3 %</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40"/>
              <w:spacing w:after="0"/>
              <w:rPr>
                <w:sz w:val="20"/>
                <w:szCs w:val="20"/>
                <w:color w:val="auto"/>
              </w:rPr>
            </w:pPr>
            <w:r>
              <w:rPr>
                <w:rFonts w:ascii="Arial" w:cs="Arial" w:eastAsia="Arial" w:hAnsi="Arial"/>
                <w:sz w:val="18"/>
                <w:szCs w:val="18"/>
                <w:color w:val="auto"/>
              </w:rPr>
              <w:t>New certified loan originations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15,810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estimated future revenues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17,110</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142.2 %</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3,774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04"/>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23,956</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634.8 %</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Claims administration service fees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17,430</w:t>
            </w:r>
          </w:p>
        </w:tc>
        <w:tc>
          <w:tcPr>
            <w:tcW w:w="640" w:type="dxa"/>
            <w:vAlign w:val="bottom"/>
            <w:gridSpan w:val="3"/>
            <w:shd w:val="clear" w:color="auto" w:fill="CCEEFF"/>
          </w:tcPr>
          <w:p>
            <w:pPr>
              <w:jc w:val="right"/>
              <w:ind w:right="304"/>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26,578</w:t>
            </w: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152.5 %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revenue increased by $26.6 million, or 152.5%, for the three months ended March 31, 2021, as compared to the same period in 2020, driven by an increase in anticipated profit share, programs fees and claims administrative revenues on new originations and the change in estimated future revenues on historical vintages. As the loan default rate, default severity and prepayment rate continued to improve during the three months ended March 31, 2021, our estimated profit share on historic business increased.</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Program fee revenue increased by $2.2 million, or 17.3%, for the three months ended March 31, 2021 as compared to the same period in 2020, driven by an 18.9% increase in certified loan volume during the three months ended March 31, 2021 as compared to the prior year period.</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Profit share revenue increased by $24.0 million, or 634.8%, during the three months ended March 31, 2021, as compared to the same period in 2020. During the three months ended March 31, 2021, we recorded $22.7 million in anticipated profit share associated with 33,318 new certified loans for an average of $680 per loan as compared to $15.8 million in anticipated profit share associated with 28,024 certified loans for an average of $564 per loan during the three months ended March 31, 2020. In addition, during the three months ended March 31, 2021 we recorded $5.1 million in estimated future profit share on business written in historic periods, as compared to a $12.0 million reduction in estimated future profit share on historic vintages during the three months ended March 31, 2020. The positive adjustment during the three months ended March 31, 2021 resulted in a $17.1 million change quarter over quarter and represents the continued improvement of our portfolio performance from a risk perspective related to defaults, severity of defaults and prepayments over what we anticipated last year when the COVID-19 pandemic began. This positive adjustment in anticipated future profit share is a change in estimated variable consideration in accordance with ASC 606.</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claims administration service fees, which represents 3% of our insurance partners’ annual earned premium, increased by $0.4 million, or 44.8%, for the three months ended March 31, 2021 as compared to the same period in the prior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year, driven by a 37.6% increase in total earned premium and a 18.9% increase in new loan certifications, as compared to the same period in the prior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5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Variance</w:t>
            </w: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r>
      <w:tr>
        <w:trPr>
          <w:trHeight w:val="190"/>
        </w:trPr>
        <w:tc>
          <w:tcPr>
            <w:tcW w:w="5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44,008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17,430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152.5 %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tcPr>
          <w:p>
            <w:pPr>
              <w:spacing w:after="0"/>
              <w:rPr>
                <w:sz w:val="21"/>
                <w:szCs w:val="21"/>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34.7 %</w:t>
            </w:r>
          </w:p>
        </w:tc>
      </w:tr>
      <w:tr>
        <w:trPr>
          <w:trHeight w:val="27"/>
        </w:trPr>
        <w:tc>
          <w:tcPr>
            <w:tcW w:w="5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40,646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14,935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25,711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172.2 %</w:t>
            </w: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92.4 %</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85.7 %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increased by $25.7 million, or 172.2%, during the three months ended March 31, 2021, as compared to the same period in 2020, driven by an increase in anticipated profit share, programs fees and claims administrative revenues on new originations and change in estimated future revenues based on historical vintages as discussed above. As the estimated future underwriting profit share on historic vintages continued to improve during the three months ended March 31, 2021, our gross margins increased to 92.4% as compared to 85.7% during the prior year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Operating Income and Operating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Variance</w:t>
            </w:r>
          </w:p>
        </w:tc>
        <w:tc>
          <w:tcPr>
            <w:tcW w:w="10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44,008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17,430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152.5 %</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spacing w:after="0"/>
              <w:rPr>
                <w:sz w:val="21"/>
                <w:szCs w:val="21"/>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b w:val="1"/>
                <w:bCs w:val="1"/>
                <w:color w:val="auto"/>
              </w:rPr>
              <w:t>40,646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b w:val="1"/>
                <w:bCs w:val="1"/>
                <w:color w:val="auto"/>
              </w:rPr>
              <w:t>14,935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25,711</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172.2 %</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29,446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8,929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20,517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229.8 %</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margin</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66.9 %</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51.2 %</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increased by $4.6 million, or 130.1%, during the three months ended March 31, 2021, as compared to the same period last year. General and administrative expenses reflects an increase in employee compensation and benefits, as we build out our organization, in addition to professional and consulting fees, as we continue to implement the internal control, compliance and reporting requirements of public companies.</w:t>
      </w:r>
    </w:p>
    <w:p>
      <w:pPr>
        <w:spacing w:after="0" w:line="4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Selling and marketing expenses increased by $0.3 million, or 15.4%, during the three months ended March 31, 2021 as compared to the prior year period, primarily due to an increase in employee compensation and benefits expense, both by sales staff and account managers, driven by increased sales.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$0.2 million, or 64.6%, during the three months ended March 31, 2021, as compared to the same period in prior year, due to an increase in headcount costs driven by an increase in software development personnel.</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for the three months ended March 31, 2021 increased by $20.5 million, or 229.8%, as compared to the prior year period, driven by an increase in anticipated profit share from new originations and estimated future underwriting profits on historic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for the three months ended March 31, 2021 was 25.8%, as compared to an effective tax rate of 0.1% for the three months ended March 31, 2020. The change in the effective tax rate is primarily due to the taxable entity structure adopted in conjunction with the Business Combination that was consummated on June 10,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reasons discussed above, we recorded net income of $12.9 million during the three months ended March 31, 2021, as compared to net income of $8.2 million during the three months ended March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and Liquidity Analysis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assess liquidity primarily in terms of our ability to generate cash to fund operating and investing activities. A significant portion of our cash from operating activities are derived from our profit share arrangements with our insurance partners, which are subject to judgments and assumptions and is, therefore, subject to variability.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64"/>
        </w:trPr>
        <w:tc>
          <w:tcPr>
            <w:tcW w:w="8080" w:type="dxa"/>
            <w:vAlign w:val="bottom"/>
          </w:tcPr>
          <w:p>
            <w:pPr>
              <w:spacing w:after="0"/>
              <w:rPr>
                <w:sz w:val="24"/>
                <w:szCs w:val="24"/>
                <w:color w:val="auto"/>
              </w:rPr>
            </w:pPr>
          </w:p>
        </w:tc>
        <w:tc>
          <w:tcPr>
            <w:tcW w:w="3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7"/>
        </w:trPr>
        <w:tc>
          <w:tcPr>
            <w:tcW w:w="8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7"/>
        </w:trPr>
        <w:tc>
          <w:tcPr>
            <w:tcW w:w="8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2"/>
          </w:tcPr>
          <w:p>
            <w:pPr>
              <w:jc w:val="center"/>
              <w:ind w:left="15"/>
              <w:spacing w:after="0"/>
              <w:rPr>
                <w:sz w:val="20"/>
                <w:szCs w:val="20"/>
                <w:color w:val="auto"/>
              </w:rPr>
            </w:pPr>
            <w:r>
              <w:rPr>
                <w:rFonts w:ascii="Arial" w:cs="Arial" w:eastAsia="Arial" w:hAnsi="Arial"/>
                <w:sz w:val="14"/>
                <w:szCs w:val="14"/>
                <w:i w:val="1"/>
                <w:iCs w:val="1"/>
                <w:color w:val="auto"/>
                <w:w w:val="94"/>
              </w:rPr>
              <w:t>(in thousands)</w:t>
            </w:r>
          </w:p>
        </w:tc>
        <w:tc>
          <w:tcPr>
            <w:tcW w:w="1060" w:type="dxa"/>
            <w:vAlign w:val="bottom"/>
          </w:tcPr>
          <w:p>
            <w:pPr>
              <w:spacing w:after="0"/>
              <w:rPr>
                <w:sz w:val="16"/>
                <w:szCs w:val="16"/>
                <w:color w:val="auto"/>
              </w:rPr>
            </w:pPr>
          </w:p>
        </w:tc>
      </w:tr>
      <w:tr>
        <w:trPr>
          <w:trHeight w:val="26"/>
        </w:trPr>
        <w:tc>
          <w:tcPr>
            <w:tcW w:w="8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7"/>
              </w:rPr>
              <w:t>18,835</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8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6,662</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w:t>
            </w:r>
          </w:p>
        </w:tc>
      </w:tr>
      <w:tr>
        <w:trPr>
          <w:trHeight w:val="27"/>
        </w:trPr>
        <w:tc>
          <w:tcPr>
            <w:tcW w:w="80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cash flows provided by operating activities primarily consists of operating income and adjustments for net changes in operating assets and liabilities, primarily changes in our accounts receivable, prepaid expenses, contract assets, accounts payable, income tax payable and accrued expenses.</w:t>
      </w:r>
    </w:p>
    <w:p>
      <w:pPr>
        <w:spacing w:after="0" w:line="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net cash from operating activities for the three months ended March 31, 2021 was $18.8 million. For the three months ended March 31, 2021, net cash provided by operating activities was primarily attributable to cash inflows from program fees and higher profit share payments from our insurance carriers, mainly as a result of our carriers releasing reserves established due to uncertainty related to the COVID-19 pandemic last year and the continued improved performance of our portfolio. In addition, net income was increased by an $8.8 million non-cash loss on extinguishment of debt which was offset by a $7.9 million increase in contract assets and a $2.5 million increase in accounts receivable.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cash from operating activities for the three months ended March 31, 2020 was $7.1 million. Operating cash flow was driven primarily by net income recorded during the current reporting period. Cash provided by operating activities was impacted by a $4.2 million decrease in contract assets which was partially offset by $4.6 million in deferred transaction costs paid in the quarter.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2021 and 2020, net cash used in investing activities was essentially break-even and $0.1 million, respectively. For both periods, the investments primarily consisted of purchases of furniture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cash flows provided by and used in financing activities primarily consist of proceeds from debt, payments of debt and deferred financing costs and member distributions.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31, 2021, net cash provided by financing activities was $6.7 million. The cash inflow includes $175.0 million in proceeds associated with our New Credit Agreement entered into March 19, 2021 which refinanced our existing debt, less $1.5 million in deferred financing costs associated with this facility. This was partially offset by a $166.8 million payment in full of the Term Loan due 2027.</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net cash provided by financing activities was $23.4 million. The cash inflow consisted of $170.0 million in proceeds less $9.1 million in deferred financing costs, which was partially offset by a $134.2 million distribution to Open Lending, LLC’s unitholders and $3.3 million of debt principal payments.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long-term debt consists of a $125.0 million Term Loan and a $50.0 million Revolving Facility under the New Credit Agreement that we entered into on March 19, 2021. Proceeds from the Credit Facility were used primarily to pay the Term Loan due 2027 in full and provide cash for general corporate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Affecting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operating lease obligation consists of a lease of real property from third-parties under a non-cancellable operating lease executed on June 17, 2019 (the “G&amp;I Lease”), with G&amp;I VII Barton Skyway, LP, a Delaware limited partnership, to lease an office space located at 1501 South MoPac Expressway, Austin, TX 78746 (Suite 450) for a period of 100 months commencing on October 1, 2020. The lease agreement provides an extension option for a period of 60 months beyond the end of the initial term, subject to specific conditions. Under the new G&amp;I Lease, there are $0.9 million of operating lease obligations due within the next twelve months. The operating lease rent expense for our current office space was $0.2 million for the three months ended March 31, 2021. The lease for our former office space, which expired on September 30, 2020, was $0.2 million for the three months ended March 31,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results of operations, cash requirements, financial condition, contractual restrictions and other factors that our Board of Directors may deem relevant. In addition, our ability to pay dividends is limited by covenants in our existing indebtedness and may be limited by the agreements governing other indebtedness that we or our subsidiaries may incur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they provide useful measures for period-to-period comparisons of our business, as they remove the effect of certain non-cash items and certain variable charges. Adjusted EBITDA is defined as GAAP net income excluding interest expense, income taxes, depreciation and amortization expense (including amortization of right-of-use assets), share-based compensation expense and loss on extinguishment of debt. Adjusted EBITDA margin is defined as Adjusted EBITDA expressed as a percentage of total revenue.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0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12,862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8,172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3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3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7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8,778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adjustments</w:t>
            </w:r>
          </w:p>
        </w:tc>
        <w:tc>
          <w:tcPr>
            <w:tcW w:w="3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17,431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1,384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30,293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9,556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revenue</w:t>
            </w:r>
          </w:p>
        </w:tc>
        <w:tc>
          <w:tcPr>
            <w:tcW w:w="3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vMerge w:val="continue"/>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151"/>
              <w:spacing w:after="0" w:line="203" w:lineRule="exact"/>
              <w:rPr>
                <w:sz w:val="20"/>
                <w:szCs w:val="20"/>
                <w:color w:val="auto"/>
              </w:rPr>
            </w:pPr>
            <w:r>
              <w:rPr>
                <w:rFonts w:ascii="Arial" w:cs="Arial" w:eastAsia="Arial" w:hAnsi="Arial"/>
                <w:sz w:val="18"/>
                <w:szCs w:val="18"/>
                <w:b w:val="1"/>
                <w:bCs w:val="1"/>
                <w:color w:val="auto"/>
              </w:rPr>
              <w:t>44,008</w:t>
            </w:r>
          </w:p>
        </w:tc>
        <w:tc>
          <w:tcPr>
            <w:tcW w:w="100" w:type="dxa"/>
            <w:vAlign w:val="bottom"/>
          </w:tcPr>
          <w:p>
            <w:pPr>
              <w:spacing w:after="0"/>
              <w:rPr>
                <w:sz w:val="17"/>
                <w:szCs w:val="17"/>
                <w:color w:val="auto"/>
              </w:rPr>
            </w:pPr>
          </w:p>
        </w:tc>
        <w:tc>
          <w:tcPr>
            <w:tcW w:w="520" w:type="dxa"/>
            <w:vAlign w:val="bottom"/>
          </w:tcPr>
          <w:p>
            <w:pPr>
              <w:jc w:val="right"/>
              <w:ind w:right="310"/>
              <w:spacing w:after="0" w:line="203" w:lineRule="exact"/>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17,430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54.8 %</w:t>
            </w:r>
          </w:p>
        </w:tc>
        <w:tc>
          <w:tcPr>
            <w:tcW w:w="0" w:type="dxa"/>
            <w:vAlign w:val="bottom"/>
          </w:tcPr>
          <w:p>
            <w:pPr>
              <w:spacing w:after="0"/>
              <w:rPr>
                <w:sz w:val="1"/>
                <w:szCs w:val="1"/>
                <w:color w:val="auto"/>
              </w:rPr>
            </w:pPr>
          </w:p>
        </w:tc>
      </w:tr>
      <w:tr>
        <w:trPr>
          <w:trHeight w:val="891"/>
        </w:trPr>
        <w:tc>
          <w:tcPr>
            <w:tcW w:w="4080" w:type="dxa"/>
            <w:vAlign w:val="bottom"/>
          </w:tcPr>
          <w:p>
            <w:pPr>
              <w:spacing w:after="0"/>
              <w:rPr>
                <w:sz w:val="24"/>
                <w:szCs w:val="24"/>
                <w:color w:val="auto"/>
              </w:rPr>
            </w:pPr>
          </w:p>
        </w:tc>
        <w:tc>
          <w:tcPr>
            <w:tcW w:w="3700" w:type="dxa"/>
            <w:vAlign w:val="bottom"/>
          </w:tcPr>
          <w:p>
            <w:pPr>
              <w:jc w:val="right"/>
              <w:ind w:right="197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March 31, 2021, Adjusted EBITDA increased by $20.7 million, or 217.0%, as compared to the three months ended March 31, 2020. Adjusted EBITDA margin for the three ended March 31, 2021 increased to 68.8% as compared to 54.8% in the three months ended March 31, 2020. The increase in Adjusted EBITDA during the three months ended March 31, 2021 reflects an increase in estimated future profit share as a result of the continued positive portfolio performance due to lower than projected default frequency and severity stress and overall fewer claims for loss associated with historical vintages and by an increase in certified loan volume, partially offset by an increase in cost of services and operating expenses in the current quarter.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preparing our condensed consolidated financial statements, we make assumptions, judgments and estimates that can have a significant impact on our revenue, comprehensive income from operations and net income, as well as on the value of certain assets and liabilities on our condensed consolidated balance sheet. We base our assumptions, judgments and estimates on historical experience and various other factors that we believe to be reasonable under the circumstances. Actual results could differ materially from these estimates under different assumptions or conditions.</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condensed consolidated financial statements have been prepared in accordance with U.S. GAAP. To prepare these financial statements, we make estimates, assumptions, and judgments that affect what we report as our assets and liabilities, what we disclose as contingent assets and liabilities at the date of the condensed consolidated financial statements, and the reported amounts of revenues and expenses during the periods presented.</w:t>
      </w:r>
    </w:p>
    <w:p>
      <w:pPr>
        <w:spacing w:after="0" w:line="41"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In accordance with our policies, we regularly evaluate our estimates, assumptions, and judgments, including, but not limited to, those concerning revenue recognition, depreciation and amortization, contingencies, share-based compensation, and income taxes. We base our estimates, assumptions, and judgments on our historical experience and on factors we believe reasonable under the circumstances. The results involve judgments about the carrying values of assets and liabilities not readily apparent from other sources. If our assumptions or conditions change, the actual results we report may differ from these estimates. We believe the following critical accounting policies affect the more significant estimates, assumptions, and judgments we use to prepare these condensed consolidated financial statements. See </w:t>
      </w:r>
      <w:hyperlink w:anchor="page8">
        <w:r>
          <w:rPr>
            <w:rFonts w:ascii="Arial" w:cs="Arial" w:eastAsia="Arial" w:hAnsi="Arial"/>
            <w:sz w:val="18"/>
            <w:szCs w:val="18"/>
            <w:u w:val="single" w:color="auto"/>
            <w:color w:val="0000FF"/>
          </w:rPr>
          <w:t>Note 2—Summary of Significant Accounting and Reporting Policies and Recent Developments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accompanying our financial statements for a summary of our significant accounting policies, and discussion of recent accounting pronouncements.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 Share Revenue Recognition</w:t>
      </w:r>
    </w:p>
    <w:p>
      <w:pPr>
        <w:spacing w:after="0" w:line="117"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We recognize revenue in accordance with the FASB, ASC Topic 606, Revenue from Contracts with Customers. The application of ASC 606 requires us to make judgments and estimates related to the classification, measurement and recognition of revenue. Our revenue primarily consists of program fees derived from contracts with lending institutions, and profit share and claims administration service fees from contracts with insurance carriers and is recognized when the contractual performance obligation is satisfied. See </w:t>
      </w:r>
      <w:hyperlink w:anchor="page13">
        <w:r>
          <w:rPr>
            <w:rFonts w:ascii="Arial" w:cs="Arial" w:eastAsia="Arial" w:hAnsi="Arial"/>
            <w:sz w:val="18"/>
            <w:szCs w:val="18"/>
            <w:u w:val="single" w:color="auto"/>
            <w:color w:val="0000FF"/>
          </w:rPr>
          <w:t>Note 5—Revenue</w:t>
        </w:r>
      </w:hyperlink>
      <w:r>
        <w:rPr>
          <w:rFonts w:ascii="Arial" w:cs="Arial" w:eastAsia="Arial" w:hAnsi="Arial"/>
          <w:sz w:val="18"/>
          <w:szCs w:val="18"/>
          <w:color w:val="auto"/>
        </w:rPr>
        <w:t>, of the accompanying condensed consolidated financial statements for more information.</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primary judgment relating to the recognition of revenue is the estimation of our profit share with our insurance partners, which relies on market rate assumptions and our proprietary database, which has been accumulated over the last 20 years. To determine the profit share revenue, we use forecasts of loan-level earned premium and insurance claim payments. These forecasts are driven by the projection of loan defaults, prepayments and severity rates. These assumptions are based on our observations of the historical behavior for loans with similar risk characteristics. The assumptions also take under consideration the forecast adjustments under various macroeconomic conditions and the current mix of the underlying portfolio of our insurance partners. To the extent these assumptions change, our profit share revenue will be adjusted.</w:t>
      </w:r>
    </w:p>
    <w:p>
      <w:pPr>
        <w:spacing w:after="0" w:line="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profit share revenue recognition purposes, particularly to measure the profit share variable consideration, we update our forecast of loan default, loss severity and prepayment assumptions on a quarterly basis. The loan default rate also incorporates multiple macro-economic scenarios with conservatism embedded in a stressed scenario to ensure a representation of an economic recession.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deem it necessary, we back-test the major estimate assumptions to ensure the accuracy of the revenue recognition model. We also benchmark back-testing results of our forecast default rates against those reported by auto lenders.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Income Taxes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closing of the Business Combination, Open Lending, LLC, the sole owner of Lenders Protection, LLC and Open Lending Services, Inc., was a treated as a partnership for U.S. federal income tax purposes. Therefore, no provision had historically been made for federal income tax purposes prior to the closing.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closing, Open Lending, LLC became a disregarded entity, wholly owned by the Company by and through its wholly owned subsidiaries. As of the close of the Business Combination, the Company has been subject to U.S. federal income tax on a condensed consolidated basis.</w:t>
      </w:r>
    </w:p>
    <w:p>
      <w:pPr>
        <w:spacing w:after="0" w:line="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effective tax rate is based on income at statutory tax rates, adjusted for non-taxable and non-deductible items and tax credits. Management’s best estimate of future events and their impact is included in our effective tax rate. Certain changes or future events, such as changes in tax legislation, could have an impact on our estimates and effective tax rate. Audit periods remain open for review until the statute of limitations has passed.</w:t>
      </w:r>
    </w:p>
    <w:p>
      <w:pPr>
        <w:spacing w:after="0" w:line="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calculation of income taxes involves estimating the actual current tax liability together with assessing temporary differences in recognition of income (loss) for tax and accounting purposes. These differences result in deferred tax assets and liabilities, which are included in our condensed consolidated balance sheets. We record a valuation allowance when it is more likely than not that some portion or all of the deferred tax assets will not be realized. In assessing the need for a valuation allowance, we are required to develop estimates of the anticipated timing of the reversal of existing deferred tax liabilities, as well as estimates of future taxable income in some instances. Judgment is inherent in this process and differences between the estimated and actual amounts could result in a material impact on our condensed consolidated financial statements.</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that is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believe we have no material uncertain tax positions as of March 31, 2021 or December 31, 2020, no assurance can be given that the final outcome of these matters will align with the positions reflected within these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Awards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and recognize compensation expense for all share-based awards made to employees based on estimated fair values on the date of grant. The compensation expense is recognized on a straight-line basis over the requisite service period. Forfeitures are recognized as they occur. To determine the fair value of the share-based awards, we use the closing price of our common stock publicly traded on NASDAQ on the date of grant for RSU awards, we utilize a waterfall model set-up using the Monte-Carlo simulation framework for profit interests, and we utilize the Black-Scholes option pricing model to value stock options, both of which models involve inputs for the share value of Open Lending, expected share volatility, expected term of the awards, risk-free interest rate and expected preferred and common distributions.</w:t>
      </w:r>
    </w:p>
    <w:p>
      <w:pPr>
        <w:spacing w:after="0" w:line="70"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This determination of fair value is affected by assumptions regarding a number of highly complex and subjective variables. Changes in the subjective assumptions can materially affect the estimate of their fair value. See </w:t>
      </w:r>
      <w:hyperlink w:anchor="page15">
        <w:r>
          <w:rPr>
            <w:rFonts w:ascii="Arial" w:cs="Arial" w:eastAsia="Arial" w:hAnsi="Arial"/>
            <w:sz w:val="18"/>
            <w:szCs w:val="18"/>
            <w:u w:val="single" w:color="auto"/>
            <w:color w:val="0000FF"/>
          </w:rPr>
          <w:t>Note 6—Share-Based Compensation</w:t>
        </w:r>
      </w:hyperlink>
      <w:r>
        <w:rPr>
          <w:rFonts w:ascii="Arial" w:cs="Arial" w:eastAsia="Arial" w:hAnsi="Arial"/>
          <w:sz w:val="18"/>
          <w:szCs w:val="18"/>
          <w:color w:val="auto"/>
        </w:rPr>
        <w:t>, of the accompanying condensed consolidated financial statements for more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JOBS Act, an emerging growth company may adopt new or revised accounting standards that may be issued by the FASB or the SEC either</w:t>
      </w:r>
    </w:p>
    <w:p>
      <w:pPr>
        <w:spacing w:after="0" w:line="46" w:lineRule="exact"/>
        <w:rPr>
          <w:sz w:val="20"/>
          <w:szCs w:val="20"/>
          <w:color w:val="auto"/>
        </w:rPr>
      </w:pPr>
    </w:p>
    <w:p>
      <w:pPr>
        <w:jc w:val="both"/>
        <w:ind w:firstLine="8"/>
        <w:spacing w:after="0" w:line="277" w:lineRule="auto"/>
        <w:tabs>
          <w:tab w:leader="none" w:pos="218"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intend to take advantage of some of the reduced regulatory and reporting requirements of emerging growth companies pursuant to the JOBS Act so long as Open Lending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remain an emerging growth company until the earliest of (i) the date we are deemed to be a “large accelerated filer,” as defined in the Exchange Act, (ii) the last day of the fiscal year in which we have total annual gross revenue of $1.07 billion or more during such fiscal year, (iii) the date on which we have issued more than $1 billion in non-convertible debt in the prior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three-year period or (iv) the last day of the fiscal year following the fifth anniversary of the date of the first sale of our common stock in our initial public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8">
        <w:r>
          <w:rPr>
            <w:rFonts w:ascii="Arial" w:cs="Arial" w:eastAsia="Arial" w:hAnsi="Arial"/>
            <w:sz w:val="18"/>
            <w:szCs w:val="18"/>
            <w:u w:val="single" w:color="auto"/>
            <w:color w:val="0000FF"/>
          </w:rPr>
          <w:t>Note 2—Summary of Significant Accounting and Reporting Policies and Recent Developments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condensed consolidated financial statements for our discussion about new accounting pronouncements adopted and those pending.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engaged in off-balance sheet financing arrangements, as defined in Item 303(a)(4)(ii) of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our contractual commitments consisted of obligations under the New Credit Agreement and operating lease obligations. The following table summarizes our contractual obligations as of March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6"/>
          </w:tcPr>
          <w:p>
            <w:pPr>
              <w:jc w:val="center"/>
              <w:ind w:left="850"/>
              <w:spacing w:after="0"/>
              <w:rPr>
                <w:sz w:val="20"/>
                <w:szCs w:val="20"/>
                <w:color w:val="auto"/>
              </w:rPr>
            </w:pPr>
            <w:r>
              <w:rPr>
                <w:rFonts w:ascii="Arial" w:cs="Arial" w:eastAsia="Arial" w:hAnsi="Arial"/>
                <w:sz w:val="18"/>
                <w:szCs w:val="18"/>
                <w:b w:val="1"/>
                <w:bCs w:val="1"/>
                <w:color w:val="auto"/>
                <w:w w:val="88"/>
              </w:rPr>
              <w:t>Payments due by Period</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Less than 1</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More than 5</w:t>
            </w: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Year</w:t>
            </w: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1 -3 Years</w:t>
            </w:r>
          </w:p>
        </w:tc>
        <w:tc>
          <w:tcPr>
            <w:tcW w:w="2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3 -5 Years</w:t>
            </w:r>
          </w:p>
        </w:tc>
        <w:tc>
          <w:tcPr>
            <w:tcW w:w="1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Years</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principal and interest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contractual commitments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18,537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171,106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2,833</w:t>
            </w:r>
          </w:p>
        </w:tc>
      </w:tr>
      <w:tr>
        <w:trPr>
          <w:trHeight w:val="21"/>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on our term loan was estimated at a rate of LIBOR plus 2.00% based on our current net leverage ratio. Please see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w:t>
      </w:r>
      <w:r>
        <w:rPr>
          <w:rFonts w:ascii="Arial" w:cs="Arial" w:eastAsia="Arial" w:hAnsi="Arial"/>
          <w:sz w:val="18"/>
          <w:szCs w:val="18"/>
          <w:color w:val="auto"/>
        </w:rPr>
        <w:t>” for a discussion of our debt and operating lease obligations.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include activities in the United States.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Specifically, economic factors such as interest rate levels, changes in monetary and related policies, market volatility, consumer confidence and, unemployment rates in particular also influence consumer spending and borrowing patterns. We also face risk from competition to acquire, maintain and develop new relationships with auto lenders as well as competition from a wide variety of auto lenders who are (or are affiliated) with financial institutions and have capacity to hold loans on their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not had significant concentration risk in our client base. However, for some period of time in the future, we expect a significant portion of certified loan volume to come from OEM Captives. Additionally, we rely on our largest insurance partner for a significant portion of our profit share and claims administration service fee revenue. Termination or disruption of this relationship could materially adversely impact our revenue.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19, 2021, we entered into the New Credit Facility, consisting of the $125.0 million Term Loan and the $50.0 million Revolving Facility, both of which are scheduled to mature on March 19, 2026. Borrowings under the New Credit Facility bear interest at a rate equal to either the ABR rate or a LIBOR rate plus a spread that is based upon our total net leverage ratio. The spread ranges from 1.75% to 2.50% for LIBOR loans and 0.75% to 1.50% for ABR loans. We are also charged an unused commitment fee that ranges from 0.200% to 0.275% per annum on the average daily unused portion of the Revolving Facility, which is paid quarterly in arrears and is based on our total net leverage ratio.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or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Quarterly Report on Form 10-Q, we were not a party to any material legal proceedings. In the future, we may become party to legal matters and claims arising in the ordinary course of business, the resolution of which we do not anticipate would have a material adverse impact on its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risk factors and other cautionary statements described under the heading “Item 1A. Risk Factors” included in the Annual Report on Form 10-K and the risk factors and other cautionary statements contained in our other SEC filings,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Annual Report on Form 10-K or our other SEC filings.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920" w:type="dxa"/>
            <w:vAlign w:val="bottom"/>
            <w:gridSpan w:val="9"/>
          </w:tcPr>
          <w:p>
            <w:pPr>
              <w:ind w:left="152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12"/>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Credit Agreement, dated as of March 19, 2021, by and among Open Lending Corporation, the Administrative Agent and the financial</w:t>
              </w:r>
            </w:hyperlink>
          </w:p>
        </w:tc>
      </w:tr>
      <w:tr>
        <w:trPr>
          <w:trHeight w:val="156"/>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institutions party thereto as lenders (incorporated by reference to Exhibit 10.1 of Form 8-K filed on March 25, 2021).</w:t>
              </w:r>
            </w:hyperlink>
          </w:p>
        </w:tc>
        <w:tc>
          <w:tcPr>
            <w:tcW w:w="1180" w:type="dxa"/>
            <w:vAlign w:val="bottom"/>
            <w:tcBorders>
              <w:top w:val="single" w:sz="8" w:color="0000FF"/>
            </w:tcBorders>
            <w:gridSpan w:val="3"/>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64"/>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12"/>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Stock Repurchase Agreement, dated as of March 29, 2020, by and between Open Lending Corporation and the stockholders listed therein</w:t>
              </w:r>
            </w:hyperlink>
          </w:p>
        </w:tc>
      </w:tr>
      <w:tr>
        <w:trPr>
          <w:trHeight w:val="155"/>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(incorporated by reference incorporated by reference to Exhibit 10.1 to the Company’s Current Report on Form 8-K, File No. 001-39326,</w:t>
              </w:r>
            </w:hyperlink>
          </w:p>
        </w:tc>
        <w:tc>
          <w:tcPr>
            <w:tcW w:w="14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filed with the SEC on April, 1, 2021).</w:t>
              </w:r>
            </w:hyperlink>
          </w:p>
        </w:tc>
        <w:tc>
          <w:tcPr>
            <w:tcW w:w="7180" w:type="dxa"/>
            <w:vAlign w:val="bottom"/>
            <w:tcBorders>
              <w:top w:val="single" w:sz="8" w:color="0000FF"/>
            </w:tcBorders>
            <w:gridSpan w:val="9"/>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64"/>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12"/>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Amendment No. 1 to the Tax Receivable Agreement, dated April 9, 2021 (incorporated by reference incorporated by reference to Exhibit</w:t>
              </w:r>
            </w:hyperlink>
          </w:p>
        </w:tc>
      </w:tr>
      <w:tr>
        <w:trPr>
          <w:trHeight w:val="155"/>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to the Company’s Current Report on Form 8-K, File No. 001-39326, filed with the SEC on April, 12, 2021).</w:t>
              </w:r>
            </w:hyperlink>
          </w:p>
        </w:tc>
        <w:tc>
          <w:tcPr>
            <w:tcW w:w="1740" w:type="dxa"/>
            <w:vAlign w:val="bottom"/>
            <w:tcBorders>
              <w:top w:val="single" w:sz="8" w:color="0000FF"/>
            </w:tcBorders>
            <w:gridSpan w:val="5"/>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Certification of the Chief Executive Officer</w:t>
              </w:r>
            </w:hyperlink>
          </w:p>
        </w:tc>
        <w:tc>
          <w:tcPr>
            <w:tcW w:w="6920" w:type="dxa"/>
            <w:vAlign w:val="bottom"/>
            <w:gridSpan w:val="9"/>
          </w:tcPr>
          <w:p>
            <w:pPr>
              <w:spacing w:after="0"/>
              <w:rPr>
                <w:sz w:val="24"/>
                <w:szCs w:val="24"/>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the Chief Financial Officer</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2"/>
            <w:shd w:val="clear" w:color="auto" w:fill="0000FF"/>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Chief Executive Officer pursuant to Section 906 of the Sarbanes-Oxley Act of 2002 (18 U.S.C. § 1350)</w:t>
              </w:r>
            </w:hyperlink>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of Chief Financial Officer pursuant to Section 906 of the Sarbanes-Oxley Act of 2002 (18 U.S.C. § 1350)</w:t>
              </w:r>
            </w:hyperlink>
          </w:p>
        </w:tc>
        <w:tc>
          <w:tcPr>
            <w:tcW w:w="40" w:type="dxa"/>
            <w:vAlign w:val="bottom"/>
            <w:tcBorders>
              <w:top w:val="single" w:sz="8" w:color="0000FF"/>
            </w:tcBorders>
          </w:tcPr>
          <w:p>
            <w:pPr>
              <w:spacing w:after="0"/>
              <w:rPr>
                <w:sz w:val="24"/>
                <w:szCs w:val="24"/>
                <w:color w:val="auto"/>
              </w:rPr>
            </w:pPr>
          </w:p>
        </w:tc>
        <w:tc>
          <w:tcPr>
            <w:tcW w:w="1480" w:type="dxa"/>
            <w:vAlign w:val="bottom"/>
            <w:gridSpan w:val="5"/>
          </w:tcPr>
          <w:p>
            <w:pPr>
              <w:spacing w:after="0"/>
              <w:rPr>
                <w:sz w:val="24"/>
                <w:szCs w:val="24"/>
                <w:color w:val="auto"/>
              </w:rPr>
            </w:pPr>
          </w:p>
        </w:tc>
      </w:tr>
      <w:tr>
        <w:trPr>
          <w:trHeight w:val="330"/>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w w:val="96"/>
              </w:rPr>
              <w:t>The following financial statements from Open Lending Corporation’s Quarterly Report on Form 10-Q for the quarterly period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March 31, 2021, formatted in iXBRL (Inline eXtensible Business Reporting Language):</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(i) condensed consolidated Balance Sheets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(ii) unaudited condensed consolidated Statement of Operations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(iii) unaudited condensed consolidated Statement of Comprehensive Income</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(iv) unaudited condensed consolidated Statements of Stockholder’s Equity (Deficit)</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(v) unaudited condensed consolidated Statements of Cash Flows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(vi) Notes to unaudited condensed consolidated Financial Statements</w:t>
            </w: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53" w:lineRule="exact"/>
        <w:rPr>
          <w:sz w:val="20"/>
          <w:szCs w:val="20"/>
          <w:color w:val="auto"/>
        </w:rPr>
      </w:pPr>
    </w:p>
    <w:p>
      <w:pPr>
        <w:ind w:left="1180" w:hanging="76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180" w:hanging="810"/>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line="176" w:lineRule="exact"/>
              <w:rPr>
                <w:sz w:val="20"/>
                <w:szCs w:val="20"/>
                <w:color w:val="auto"/>
              </w:rPr>
            </w:pPr>
            <w:r>
              <w:rPr>
                <w:rFonts w:ascii="Arial" w:cs="Arial" w:eastAsia="Arial" w:hAnsi="Arial"/>
                <w:sz w:val="18"/>
                <w:szCs w:val="18"/>
                <w:color w:val="auto"/>
              </w:rPr>
              <w:t>May 14, 2021</w:t>
            </w: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25"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Flynn, certify that:</w:t>
      </w:r>
    </w:p>
    <w:p>
      <w:pPr>
        <w:spacing w:after="0" w:line="117"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80" w:hanging="486"/>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460" w:right="180" w:hanging="480"/>
        <w:spacing w:after="0" w:line="286" w:lineRule="auto"/>
        <w:tabs>
          <w:tab w:leader="none" w:pos="1451"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40" w:hanging="480"/>
        <w:spacing w:after="0" w:line="342" w:lineRule="auto"/>
        <w:tabs>
          <w:tab w:leader="none" w:pos="1448"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100" w:hanging="480"/>
        <w:spacing w:after="0" w:line="263" w:lineRule="auto"/>
        <w:tabs>
          <w:tab w:leader="none" w:pos="14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left="980" w:right="140" w:hanging="486"/>
        <w:spacing w:after="0" w:line="342" w:lineRule="auto"/>
        <w:tabs>
          <w:tab w:leader="none" w:pos="9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40" w:hanging="480"/>
        <w:spacing w:after="0" w:line="277" w:lineRule="auto"/>
        <w:tabs>
          <w:tab w:leader="none" w:pos="14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May 14,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Jehl, certify that:</w:t>
      </w:r>
    </w:p>
    <w:p>
      <w:pPr>
        <w:spacing w:after="0" w:line="117"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80" w:hanging="486"/>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460" w:right="180" w:hanging="480"/>
        <w:spacing w:after="0" w:line="286" w:lineRule="auto"/>
        <w:tabs>
          <w:tab w:leader="none" w:pos="1451"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40" w:hanging="480"/>
        <w:spacing w:after="0" w:line="342" w:lineRule="auto"/>
        <w:tabs>
          <w:tab w:leader="none" w:pos="1448"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100" w:hanging="480"/>
        <w:spacing w:after="0" w:line="263" w:lineRule="auto"/>
        <w:tabs>
          <w:tab w:leader="none" w:pos="14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left="980" w:right="140" w:hanging="486"/>
        <w:spacing w:after="0" w:line="342" w:lineRule="auto"/>
        <w:tabs>
          <w:tab w:leader="none" w:pos="9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40" w:hanging="480"/>
        <w:spacing w:after="0" w:line="277" w:lineRule="auto"/>
        <w:tabs>
          <w:tab w:leader="none" w:pos="14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May 14,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Open Lending Corporation a Delaware corporation (the “Company”), on Form 10-Q for the fiscal quarter ended March 31, 2021, as filed with the Securities and Exchange Commission on the date hereof (the “Form 10-Q”), I, John Flynn, Chief Executive Officer of the Company, certify, pursuant to 18 U.S.C. section 1350, as adopted pursuant section 906 of the Sarbanes-Oxley Act of 2002, that to the best of our knowledge:</w:t>
      </w:r>
    </w:p>
    <w:p>
      <w:pPr>
        <w:spacing w:after="0" w:line="79" w:lineRule="exact"/>
        <w:rPr>
          <w:sz w:val="20"/>
          <w:szCs w:val="20"/>
          <w:color w:val="auto"/>
        </w:rPr>
      </w:pPr>
    </w:p>
    <w:p>
      <w:pPr>
        <w:ind w:left="500" w:right="400" w:hanging="492"/>
        <w:spacing w:after="0" w:line="277" w:lineRule="auto"/>
        <w:tabs>
          <w:tab w:leader="none" w:pos="4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Form 10-Q fully complies, in all material respects,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John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John J. Flynn</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Chairman and 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6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May 14, 2021</w:t>
      </w:r>
    </w:p>
    <w:p>
      <w:pPr>
        <w:sectPr>
          <w:pgSz w:w="11900" w:h="16838" w:orient="portrait"/>
          <w:cols w:equalWidth="0" w:num="1">
            <w:col w:w="11240"/>
          </w:cols>
          <w:pgMar w:left="320" w:top="110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Open Lending Corporation a Delaware corporation (the “Company”) for the fiscal quarter ended March 31, 2021, as filed with the Securities and Exchange Commission on the date hereof (the “Form 10-Q”), I, Charles Jehl, Chief Financial Officer of the Company, certify, pursuant to 18 U.S.C. section 1350, as adopted pursuant section 906 of the Sarbanes-Oxley Act of 2002, that to the best of our knowledge:</w:t>
      </w:r>
    </w:p>
    <w:p>
      <w:pPr>
        <w:spacing w:after="0" w:line="79" w:lineRule="exact"/>
        <w:rPr>
          <w:sz w:val="20"/>
          <w:szCs w:val="20"/>
          <w:color w:val="auto"/>
        </w:rPr>
      </w:pPr>
    </w:p>
    <w:p>
      <w:pPr>
        <w:ind w:left="500" w:right="400" w:hanging="492"/>
        <w:spacing w:after="0" w:line="277" w:lineRule="auto"/>
        <w:tabs>
          <w:tab w:leader="none" w:pos="4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 10-Q fully complies, in all material respects,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6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Date: May 14, 2021</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Letter"/>
      <w:start w:val="2"/>
    </w:lvl>
  </w:abstractNum>
  <w:abstractNum w:abstractNumId="5">
    <w:nsid w:val="519B500D"/>
    <w:multiLevelType w:val="hybridMultilevel"/>
    <w:lvl w:ilvl="0">
      <w:lvlJc w:val="left"/>
      <w:lvlText w:val="%1)"/>
      <w:numFmt w:val="lowerLetter"/>
      <w:start w:val="3"/>
    </w:lvl>
  </w:abstractNum>
  <w:abstractNum w:abstractNumId="6">
    <w:nsid w:val="431BD7B7"/>
    <w:multiLevelType w:val="hybridMultilevel"/>
    <w:lvl w:ilvl="0">
      <w:lvlJc w:val="left"/>
      <w:lvlText w:val="%1)"/>
      <w:numFmt w:val="lowerLetter"/>
      <w:start w:val="4"/>
    </w:lvl>
  </w:abstractNum>
  <w:abstractNum w:abstractNumId="7">
    <w:nsid w:val="3F2DBA31"/>
    <w:multiLevelType w:val="hybridMultilevel"/>
    <w:lvl w:ilvl="0">
      <w:lvlJc w:val="left"/>
      <w:lvlText w:val="%1)"/>
      <w:numFmt w:val="lowerLetter"/>
      <w:start w:val="5"/>
    </w:lvl>
  </w:abstractNum>
  <w:abstractNum w:abstractNumId="8">
    <w:nsid w:val="7C83E458"/>
    <w:multiLevelType w:val="hybridMultilevel"/>
    <w:lvl w:ilvl="0">
      <w:lvlJc w:val="left"/>
      <w:lvlText w:val="%1)"/>
      <w:numFmt w:val="lowerLetter"/>
      <w:start w:val="6"/>
    </w:lvl>
  </w:abstractNum>
  <w:abstractNum w:abstractNumId="9">
    <w:nsid w:val="257130A3"/>
    <w:multiLevelType w:val="hybridMultilevel"/>
    <w:lvl w:ilvl="0">
      <w:lvlJc w:val="left"/>
      <w:lvlText w:val="%1)"/>
      <w:numFmt w:val="lowerLetter"/>
      <w:start w:val="7"/>
    </w:lvl>
  </w:abstractNum>
  <w:abstractNum w:abstractNumId="10">
    <w:nsid w:val="62BBD95A"/>
    <w:multiLevelType w:val="hybridMultilevel"/>
    <w:lvl w:ilvl="0">
      <w:lvlJc w:val="left"/>
      <w:lvlText w:val="%1)"/>
      <w:numFmt w:val="lowerLetter"/>
      <w:start w:val="8"/>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lowerRoman"/>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2"/>
      <w:numFmt w:val="bullet"/>
      <w:start w:val="1"/>
    </w:lvl>
  </w:abstractNum>
  <w:abstractNum w:abstractNumId="19">
    <w:nsid w:val="8EDBDAB"/>
    <w:multiLevelType w:val="hybridMultilevel"/>
    <w:lvl w:ilvl="0">
      <w:lvlJc w:val="left"/>
      <w:lvlText w:val="3"/>
      <w:numFmt w:val="bullet"/>
      <w:start w:val="1"/>
    </w:lvl>
  </w:abstractNum>
  <w:abstractNum w:abstractNumId="20">
    <w:nsid w:val="79838CB2"/>
    <w:multiLevelType w:val="hybridMultilevel"/>
    <w:lvl w:ilvl="0">
      <w:lvlJc w:val="left"/>
      <w:lvlText w:val="4"/>
      <w:numFmt w:val="bullet"/>
      <w:start w:val="1"/>
    </w:lvl>
    <w:lvl w:ilvl="1">
      <w:lvlJc w:val="left"/>
      <w:lvlText w:val="%2)"/>
      <w:numFmt w:val="lowerLetter"/>
      <w:start w:val="1"/>
    </w:lvl>
  </w:abstractNum>
  <w:abstractNum w:abstractNumId="21">
    <w:nsid w:val="4353D0CD"/>
    <w:multiLevelType w:val="hybridMultilevel"/>
    <w:lvl w:ilvl="0">
      <w:lvlJc w:val="left"/>
      <w:lvlText w:val="5"/>
      <w:numFmt w:val="bullet"/>
      <w:start w:val="1"/>
    </w:lvl>
    <w:lvl w:ilvl="1">
      <w:lvlJc w:val="left"/>
      <w:lvlText w:val="%2)"/>
      <w:numFmt w:val="lowerLetter"/>
      <w:start w:val="1"/>
    </w:lvl>
  </w:abstractNum>
  <w:abstractNum w:abstractNumId="22">
    <w:nsid w:val="B03E0C6"/>
    <w:multiLevelType w:val="hybridMultilevel"/>
    <w:lvl w:ilvl="0">
      <w:lvlJc w:val="left"/>
      <w:lvlText w:val="1"/>
      <w:numFmt w:val="bullet"/>
      <w:start w:val="1"/>
    </w:lvl>
  </w:abstractNum>
  <w:abstractNum w:abstractNumId="23">
    <w:nsid w:val="189A769B"/>
    <w:multiLevelType w:val="hybridMultilevel"/>
    <w:lvl w:ilvl="0">
      <w:lvlJc w:val="left"/>
      <w:lvlText w:val="2"/>
      <w:numFmt w:val="bullet"/>
      <w:start w:val="1"/>
    </w:lvl>
  </w:abstractNum>
  <w:abstractNum w:abstractNumId="24">
    <w:nsid w:val="54E49EB4"/>
    <w:multiLevelType w:val="hybridMultilevel"/>
    <w:lvl w:ilvl="0">
      <w:lvlJc w:val="left"/>
      <w:lvlText w:val="3"/>
      <w:numFmt w:val="bullet"/>
      <w:start w:val="1"/>
    </w:lvl>
  </w:abstractNum>
  <w:abstractNum w:abstractNumId="25">
    <w:nsid w:val="71F32454"/>
    <w:multiLevelType w:val="hybridMultilevel"/>
    <w:lvl w:ilvl="0">
      <w:lvlJc w:val="left"/>
      <w:lvlText w:val="4"/>
      <w:numFmt w:val="bullet"/>
      <w:start w:val="1"/>
    </w:lvl>
    <w:lvl w:ilvl="1">
      <w:lvlJc w:val="left"/>
      <w:lvlText w:val="%2)"/>
      <w:numFmt w:val="lowerLetter"/>
      <w:start w:val="1"/>
    </w:lvl>
  </w:abstractNum>
  <w:abstractNum w:abstractNumId="26">
    <w:nsid w:val="2CA88611"/>
    <w:multiLevelType w:val="hybridMultilevel"/>
    <w:lvl w:ilvl="0">
      <w:lvlJc w:val="left"/>
      <w:lvlText w:val="5"/>
      <w:numFmt w:val="bullet"/>
      <w:start w:val="1"/>
    </w:lvl>
    <w:lvl w:ilvl="1">
      <w:lvlJc w:val="left"/>
      <w:lvlText w:val="%2)"/>
      <w:numFmt w:val="lowerLetter"/>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55" Type="http://schemas.openxmlformats.org/officeDocument/2006/relationships/hyperlink" Target="https://www.sec.gov/Archives/edgar/data/1806201/000119312521092900/d140091dex101.htm" TargetMode="External"/><Relationship Id="rId56" Type="http://schemas.openxmlformats.org/officeDocument/2006/relationships/hyperlink" Target="https://www.sec.gov/Archives/edgar/data/1806201/000119312521104073/d149530dex101.htm" TargetMode="External"/><Relationship Id="rId57" Type="http://schemas.openxmlformats.org/officeDocument/2006/relationships/hyperlink" Target="https://www.sec.gov/Archives/edgar/data/1806201/000119312521113175/d13375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2021-05-14T16:02:54Z</dcterms:created>
  <dcterms:modified xsi:type="dcterms:W3CDTF">2021-05-14T16:02:54Z</dcterms:modified>
</cp:coreProperties>
</file>