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480" w:right="220" w:hanging="454"/>
        <w:spacing w:after="0" w:line="250"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131445</wp:posOffset>
            </wp:positionV>
            <wp:extent cx="214312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1460" w:type="dxa"/>
        <w:tblCellMar>
          <w:top w:w="0" w:type="dxa"/>
          <w:left w:w="0" w:type="dxa"/>
          <w:bottom w:w="0" w:type="dxa"/>
          <w:right w:w="0" w:type="dxa"/>
        </w:tblCellMar>
      </w:tblPr>
      <w:tr>
        <w:trPr>
          <w:trHeight w:val="239"/>
        </w:trPr>
        <w:tc>
          <w:tcPr>
            <w:tcW w:w="4520" w:type="dxa"/>
            <w:vAlign w:val="bottom"/>
          </w:tcPr>
          <w:p>
            <w:pPr>
              <w:jc w:val="center"/>
              <w:ind w:right="1738"/>
              <w:spacing w:after="0"/>
              <w:rPr>
                <w:sz w:val="20"/>
                <w:szCs w:val="20"/>
                <w:color w:val="auto"/>
              </w:rPr>
            </w:pPr>
            <w:r>
              <w:rPr>
                <w:rFonts w:ascii="Arial" w:cs="Arial" w:eastAsia="Arial" w:hAnsi="Arial"/>
                <w:sz w:val="18"/>
                <w:szCs w:val="18"/>
                <w:b w:val="1"/>
                <w:bCs w:val="1"/>
                <w:color w:val="auto"/>
                <w:w w:val="98"/>
              </w:rPr>
              <w:t>Delaware</w:t>
            </w:r>
          </w:p>
        </w:tc>
        <w:tc>
          <w:tcPr>
            <w:tcW w:w="3040" w:type="dxa"/>
            <w:vAlign w:val="bottom"/>
          </w:tcPr>
          <w:p>
            <w:pPr>
              <w:jc w:val="right"/>
              <w:ind w:right="61"/>
              <w:spacing w:after="0"/>
              <w:rPr>
                <w:sz w:val="20"/>
                <w:szCs w:val="20"/>
                <w:color w:val="auto"/>
              </w:rPr>
            </w:pPr>
            <w:r>
              <w:rPr>
                <w:rFonts w:ascii="Arial" w:cs="Arial" w:eastAsia="Arial" w:hAnsi="Arial"/>
                <w:sz w:val="18"/>
                <w:szCs w:val="18"/>
                <w:b w:val="1"/>
                <w:bCs w:val="1"/>
                <w:color w:val="auto"/>
              </w:rPr>
              <w:t>84-5031428</w:t>
            </w:r>
          </w:p>
        </w:tc>
        <w:tc>
          <w:tcPr>
            <w:tcW w:w="0" w:type="dxa"/>
            <w:vAlign w:val="bottom"/>
          </w:tcPr>
          <w:p>
            <w:pPr>
              <w:spacing w:after="0"/>
              <w:rPr>
                <w:sz w:val="1"/>
                <w:szCs w:val="1"/>
                <w:color w:val="auto"/>
              </w:rPr>
            </w:pPr>
          </w:p>
        </w:tc>
      </w:tr>
      <w:tr>
        <w:trPr>
          <w:trHeight w:val="148"/>
        </w:trPr>
        <w:tc>
          <w:tcPr>
            <w:tcW w:w="452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0"/>
        </w:trPr>
        <w:tc>
          <w:tcPr>
            <w:tcW w:w="4520" w:type="dxa"/>
            <w:vAlign w:val="bottom"/>
          </w:tcPr>
          <w:p>
            <w:pPr>
              <w:jc w:val="center"/>
              <w:ind w:right="173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39"/>
        </w:trPr>
        <w:tc>
          <w:tcPr>
            <w:tcW w:w="4520" w:type="dxa"/>
            <w:vAlign w:val="bottom"/>
          </w:tcPr>
          <w:p>
            <w:pPr>
              <w:jc w:val="center"/>
              <w:ind w:right="1738"/>
              <w:spacing w:after="0"/>
              <w:rPr>
                <w:sz w:val="20"/>
                <w:szCs w:val="20"/>
                <w:color w:val="auto"/>
              </w:rPr>
            </w:pPr>
            <w:r>
              <w:rPr>
                <w:rFonts w:ascii="Arial" w:cs="Arial" w:eastAsia="Arial" w:hAnsi="Arial"/>
                <w:sz w:val="18"/>
                <w:szCs w:val="18"/>
                <w:b w:val="1"/>
                <w:bCs w:val="1"/>
                <w:color w:val="auto"/>
                <w:w w:val="99"/>
              </w:rPr>
              <w:t>1501 S. MoPac Expressway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Pr>
          <w:p>
            <w:pPr>
              <w:jc w:val="center"/>
              <w:ind w:right="1738"/>
              <w:spacing w:after="0" w:line="176" w:lineRule="exact"/>
              <w:rPr>
                <w:sz w:val="20"/>
                <w:szCs w:val="20"/>
                <w:color w:val="auto"/>
              </w:rPr>
            </w:pPr>
            <w:r>
              <w:rPr>
                <w:rFonts w:ascii="Arial" w:cs="Arial" w:eastAsia="Arial" w:hAnsi="Arial"/>
                <w:sz w:val="18"/>
                <w:szCs w:val="18"/>
                <w:b w:val="1"/>
                <w:bCs w:val="1"/>
                <w:color w:val="auto"/>
                <w:w w:val="98"/>
              </w:rPr>
              <w:t>Suite 450</w:t>
            </w:r>
          </w:p>
        </w:tc>
        <w:tc>
          <w:tcPr>
            <w:tcW w:w="3040" w:type="dxa"/>
            <w:vAlign w:val="bottom"/>
            <w:vMerge w:val="restart"/>
          </w:tcPr>
          <w:p>
            <w:pPr>
              <w:jc w:val="right"/>
              <w:ind w:right="28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30"/>
        </w:trPr>
        <w:tc>
          <w:tcPr>
            <w:tcW w:w="4520" w:type="dxa"/>
            <w:vAlign w:val="bottom"/>
          </w:tcPr>
          <w:p>
            <w:pPr>
              <w:jc w:val="center"/>
              <w:ind w:right="1758"/>
              <w:spacing w:after="0"/>
              <w:rPr>
                <w:sz w:val="20"/>
                <w:szCs w:val="20"/>
                <w:color w:val="auto"/>
              </w:rPr>
            </w:pPr>
            <w:r>
              <w:rPr>
                <w:rFonts w:ascii="Arial" w:cs="Arial" w:eastAsia="Arial" w:hAnsi="Arial"/>
                <w:sz w:val="18"/>
                <w:szCs w:val="18"/>
                <w:b w:val="1"/>
                <w:bCs w:val="1"/>
                <w:color w:val="auto"/>
                <w:w w:val="99"/>
              </w:rPr>
              <w:t>Austin, Texas</w:t>
            </w:r>
          </w:p>
        </w:tc>
        <w:tc>
          <w:tcPr>
            <w:tcW w:w="3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520" w:type="dxa"/>
            <w:vAlign w:val="bottom"/>
          </w:tcPr>
          <w:p>
            <w:pPr>
              <w:jc w:val="center"/>
              <w:ind w:right="173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201"/>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45"/>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Common stock, par value $0.01 per share</w:t>
            </w:r>
          </w:p>
        </w:tc>
        <w:tc>
          <w:tcPr>
            <w:tcW w:w="120" w:type="dxa"/>
            <w:vAlign w:val="bottom"/>
          </w:tcPr>
          <w:p>
            <w:pPr>
              <w:spacing w:after="0"/>
              <w:rPr>
                <w:sz w:val="21"/>
                <w:szCs w:val="21"/>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9"/>
              </w:rPr>
              <w:t>LPRO</w:t>
            </w:r>
          </w:p>
        </w:tc>
        <w:tc>
          <w:tcPr>
            <w:tcW w:w="120" w:type="dxa"/>
            <w:vAlign w:val="bottom"/>
          </w:tcPr>
          <w:p>
            <w:pPr>
              <w:spacing w:after="0"/>
              <w:rPr>
                <w:sz w:val="21"/>
                <w:szCs w:val="21"/>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236" w:lineRule="exact"/>
        <w:rPr>
          <w:sz w:val="24"/>
          <w:szCs w:val="24"/>
          <w:color w:val="auto"/>
        </w:rPr>
      </w:pPr>
    </w:p>
    <w:p>
      <w:pPr>
        <w:jc w:val="both"/>
        <w:ind w:firstLine="486"/>
        <w:spacing w:after="0" w:line="27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87" w:lineRule="exact"/>
        <w:rPr>
          <w:sz w:val="24"/>
          <w:szCs w:val="24"/>
          <w:color w:val="auto"/>
        </w:rPr>
      </w:pPr>
    </w:p>
    <w:p>
      <w:pPr>
        <w:spacing w:after="0" w:line="207" w:lineRule="exact"/>
        <w:tabs>
          <w:tab w:leader="none" w:pos="9500" w:val="left"/>
          <w:tab w:leader="none" w:pos="10260" w:val="left"/>
        </w:tabs>
        <w:rPr>
          <w:sz w:val="20"/>
          <w:szCs w:val="20"/>
          <w:color w:val="auto"/>
        </w:rPr>
      </w:pPr>
      <w:r>
        <w:rPr>
          <w:rFonts w:ascii="Arial" w:cs="Arial" w:eastAsia="Arial" w:hAnsi="Arial"/>
          <w:sz w:val="18"/>
          <w:szCs w:val="18"/>
          <w:color w:val="auto"/>
        </w:rPr>
        <w:t>registrant was required to file such reports), and (2)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44" w:lineRule="exact"/>
        <w:rPr>
          <w:sz w:val="24"/>
          <w:szCs w:val="24"/>
          <w:color w:val="auto"/>
        </w:rPr>
      </w:pPr>
    </w:p>
    <w:p>
      <w:pPr>
        <w:jc w:val="both"/>
        <w:ind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5"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1305" w:right="339" w:bottom="27" w:gutter="0" w:footer="0" w:header="0"/>
        </w:sectPr>
      </w:pPr>
    </w:p>
    <w:bookmarkStart w:id="1" w:name="page2"/>
    <w:bookmarkEnd w:id="1"/>
    <w:p>
      <w:pPr>
        <w:ind w:firstLine="486"/>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0" w:lineRule="exact"/>
        <w:rPr>
          <w:sz w:val="20"/>
          <w:szCs w:val="20"/>
          <w:color w:val="auto"/>
        </w:rPr>
      </w:pPr>
    </w:p>
    <w:p>
      <w:pPr>
        <w:ind w:left="500" w:right="320"/>
        <w:spacing w:after="0" w:line="34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9, 2023, the registrant had 120,697,953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7060" w:type="dxa"/>
            <w:vAlign w:val="bottom"/>
            <w:gridSpan w:val="17"/>
          </w:tcPr>
          <w:p>
            <w:pPr>
              <w:spacing w:after="0" w:line="189" w:lineRule="exact"/>
              <w:rPr>
                <w:sz w:val="20"/>
                <w:szCs w:val="20"/>
                <w:color w:val="auto"/>
              </w:rPr>
            </w:pPr>
            <w:r>
              <w:rPr>
                <w:rFonts w:ascii="Arial" w:cs="Arial" w:eastAsia="Arial" w:hAnsi="Arial"/>
                <w:sz w:val="18"/>
                <w:szCs w:val="18"/>
                <w:color w:val="0000FF"/>
              </w:rPr>
              <w:t>Financial Information</w:t>
            </w:r>
          </w:p>
        </w:tc>
        <w:tc>
          <w:tcPr>
            <w:tcW w:w="26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2320" w:type="dxa"/>
            <w:vAlign w:val="bottom"/>
            <w:gridSpan w:val="4"/>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2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2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126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1600" w:type="dxa"/>
            <w:vAlign w:val="bottom"/>
            <w:gridSpan w:val="2"/>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2380" w:type="dxa"/>
            <w:vAlign w:val="bottom"/>
            <w:gridSpan w:val="5"/>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24"/>
                <w:szCs w:val="24"/>
                <w:color w:val="auto"/>
              </w:rPr>
            </w:pPr>
          </w:p>
        </w:tc>
        <w:tc>
          <w:tcPr>
            <w:tcW w:w="5080" w:type="dxa"/>
            <w:vAlign w:val="bottom"/>
            <w:gridSpan w:val="10"/>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2"/>
                <w:szCs w:val="22"/>
                <w:color w:val="auto"/>
              </w:rPr>
            </w:pPr>
          </w:p>
        </w:tc>
        <w:tc>
          <w:tcPr>
            <w:tcW w:w="5580" w:type="dxa"/>
            <w:vAlign w:val="bottom"/>
            <w:gridSpan w:val="13"/>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Default Upon Senior Securities</w:t>
            </w:r>
          </w:p>
        </w:tc>
        <w:tc>
          <w:tcPr>
            <w:tcW w:w="2380" w:type="dxa"/>
            <w:vAlign w:val="bottom"/>
            <w:tcBorders>
              <w:top w:val="single" w:sz="8" w:color="0000FF"/>
            </w:tcBorders>
            <w:gridSpan w:val="6"/>
          </w:tcPr>
          <w:p>
            <w:pPr>
              <w:spacing w:after="0"/>
              <w:rPr>
                <w:sz w:val="22"/>
                <w:szCs w:val="22"/>
                <w:color w:val="auto"/>
              </w:rPr>
            </w:pPr>
          </w:p>
        </w:tc>
        <w:tc>
          <w:tcPr>
            <w:tcW w:w="2220" w:type="dxa"/>
            <w:vAlign w:val="bottom"/>
            <w:gridSpan w:val="3"/>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70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5140" w:type="dxa"/>
            <w:vAlign w:val="bottom"/>
            <w:gridSpan w:val="11"/>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0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204,450</w:t>
            </w:r>
          </w:p>
        </w:tc>
        <w:tc>
          <w:tcPr>
            <w:tcW w:w="0" w:type="dxa"/>
            <w:vAlign w:val="bottom"/>
          </w:tcPr>
          <w:p>
            <w:pPr>
              <w:spacing w:after="0"/>
              <w:rPr>
                <w:sz w:val="1"/>
                <w:szCs w:val="1"/>
                <w:color w:val="auto"/>
              </w:rPr>
            </w:pPr>
          </w:p>
        </w:tc>
      </w:tr>
      <w:tr>
        <w:trPr>
          <w:trHeight w:val="236"/>
        </w:trPr>
        <w:tc>
          <w:tcPr>
            <w:tcW w:w="67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33,651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284,506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280,744</w:t>
            </w:r>
          </w:p>
        </w:tc>
        <w:tc>
          <w:tcPr>
            <w:tcW w:w="0" w:type="dxa"/>
            <w:vAlign w:val="bottom"/>
          </w:tcPr>
          <w:p>
            <w:pPr>
              <w:spacing w:after="0"/>
              <w:rPr>
                <w:sz w:val="1"/>
                <w:szCs w:val="1"/>
                <w:color w:val="auto"/>
              </w:rPr>
            </w:pPr>
          </w:p>
        </w:tc>
      </w:tr>
      <w:tr>
        <w:trPr>
          <w:trHeight w:val="236"/>
        </w:trPr>
        <w:tc>
          <w:tcPr>
            <w:tcW w:w="67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3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 net</w:t>
            </w:r>
          </w:p>
        </w:tc>
        <w:tc>
          <w:tcPr>
            <w:tcW w:w="3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26,004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21,001</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3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379,631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141,984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143,683</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167,650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166,807</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360"/>
              <w:spacing w:after="0" w:line="176" w:lineRule="exact"/>
              <w:rPr>
                <w:sz w:val="20"/>
                <w:szCs w:val="20"/>
                <w:color w:val="auto"/>
              </w:rPr>
            </w:pPr>
            <w:r>
              <w:rPr>
                <w:rFonts w:ascii="Arial" w:cs="Arial" w:eastAsia="Arial" w:hAnsi="Arial"/>
                <w:sz w:val="18"/>
                <w:szCs w:val="18"/>
                <w:color w:val="auto"/>
              </w:rPr>
              <w:t>Preferred stock, $0.01 par value; 10,000,000 shares authorized, none issued</w:t>
            </w:r>
          </w:p>
        </w:tc>
        <w:tc>
          <w:tcPr>
            <w:tcW w:w="3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and outstanding</w:t>
            </w:r>
          </w:p>
        </w:tc>
        <w:tc>
          <w:tcPr>
            <w:tcW w:w="32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$0.01 par value; 550,000,000 shares authorized, 128,198,185</w:t>
            </w:r>
          </w:p>
        </w:tc>
        <w:tc>
          <w:tcPr>
            <w:tcW w:w="3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issued and 120,696,156 shares outstanding as of June 30, 2023 and</w:t>
            </w:r>
          </w:p>
        </w:tc>
        <w:tc>
          <w:tcPr>
            <w:tcW w:w="3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128,198,185 shares issued and 123,646,059 shares outstanding as of</w:t>
            </w:r>
          </w:p>
        </w:tc>
        <w:tc>
          <w:tcPr>
            <w:tcW w:w="3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2022</w:t>
            </w:r>
          </w:p>
        </w:tc>
        <w:tc>
          <w:tcPr>
            <w:tcW w:w="3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501,374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(215,819)</w:t>
            </w:r>
          </w:p>
        </w:tc>
        <w:tc>
          <w:tcPr>
            <w:tcW w:w="0" w:type="dxa"/>
            <w:vAlign w:val="bottom"/>
          </w:tcPr>
          <w:p>
            <w:pPr>
              <w:spacing w:after="0"/>
              <w:rPr>
                <w:sz w:val="1"/>
                <w:szCs w:val="1"/>
                <w:color w:val="auto"/>
              </w:rPr>
            </w:pPr>
          </w:p>
        </w:tc>
      </w:tr>
      <w:tr>
        <w:trPr>
          <w:trHeight w:val="190"/>
        </w:trPr>
        <w:tc>
          <w:tcPr>
            <w:tcW w:w="6740" w:type="dxa"/>
            <w:vAlign w:val="bottom"/>
          </w:tcPr>
          <w:p>
            <w:pPr>
              <w:ind w:left="360"/>
              <w:spacing w:after="0" w:line="189" w:lineRule="exact"/>
              <w:rPr>
                <w:sz w:val="20"/>
                <w:szCs w:val="20"/>
                <w:color w:val="auto"/>
              </w:rPr>
            </w:pPr>
            <w:r>
              <w:rPr>
                <w:rFonts w:ascii="Arial" w:cs="Arial" w:eastAsia="Arial" w:hAnsi="Arial"/>
                <w:sz w:val="18"/>
                <w:szCs w:val="18"/>
                <w:color w:val="auto"/>
              </w:rPr>
              <w:t>Treasury stock at cost, 7,502,029 shares at June 30, 2023 and 4,552,126 at</w:t>
            </w:r>
          </w:p>
        </w:tc>
        <w:tc>
          <w:tcPr>
            <w:tcW w:w="32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(91,596)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(72,264)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December 31, 2022</w:t>
            </w: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212,824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379,631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00"/>
              <w:spacing w:after="0"/>
              <w:rPr>
                <w:sz w:val="20"/>
                <w:szCs w:val="20"/>
                <w:color w:val="auto"/>
              </w:rPr>
            </w:pPr>
            <w:r>
              <w:rPr>
                <w:rFonts w:ascii="Arial" w:cs="Arial" w:eastAsia="Arial" w:hAnsi="Arial"/>
                <w:sz w:val="18"/>
                <w:szCs w:val="18"/>
                <w:color w:val="auto"/>
              </w:rPr>
              <w:t>Profit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17,809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29,157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36,411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57,467</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Program fees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0" w:type="dxa"/>
            <w:vAlign w:val="bottom"/>
          </w:tcPr>
          <w:p>
            <w:pPr>
              <w:spacing w:after="0"/>
              <w:rPr>
                <w:sz w:val="1"/>
                <w:szCs w:val="1"/>
                <w:color w:val="auto"/>
              </w:rPr>
            </w:pPr>
          </w:p>
        </w:tc>
      </w:tr>
      <w:tr>
        <w:trPr>
          <w:trHeight w:val="229"/>
        </w:trPr>
        <w:tc>
          <w:tcPr>
            <w:tcW w:w="4620" w:type="dxa"/>
            <w:vAlign w:val="bottom"/>
          </w:tcPr>
          <w:p>
            <w:pPr>
              <w:ind w:left="300"/>
              <w:spacing w:after="0"/>
              <w:rPr>
                <w:sz w:val="20"/>
                <w:szCs w:val="20"/>
                <w:color w:val="auto"/>
              </w:rPr>
            </w:pPr>
            <w:r>
              <w:rPr>
                <w:rFonts w:ascii="Arial" w:cs="Arial" w:eastAsia="Arial" w:hAnsi="Arial"/>
                <w:sz w:val="18"/>
                <w:szCs w:val="18"/>
                <w:color w:val="auto"/>
              </w:rPr>
              <w:t>Claims administration and other service fees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102,112</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Cost of services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92,239</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30"/>
        </w:trPr>
        <w:tc>
          <w:tcPr>
            <w:tcW w:w="462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27,188</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65,051</w:t>
            </w:r>
          </w:p>
        </w:tc>
        <w:tc>
          <w:tcPr>
            <w:tcW w:w="0" w:type="dxa"/>
            <w:vAlign w:val="bottom"/>
          </w:tcPr>
          <w:p>
            <w:pPr>
              <w:spacing w:after="0"/>
              <w:rPr>
                <w:sz w:val="1"/>
                <w:szCs w:val="1"/>
                <w:color w:val="auto"/>
              </w:rPr>
            </w:pPr>
          </w:p>
        </w:tc>
      </w:tr>
      <w:tr>
        <w:trPr>
          <w:trHeight w:val="230"/>
        </w:trPr>
        <w:tc>
          <w:tcPr>
            <w:tcW w:w="462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620" w:type="dxa"/>
            <w:vAlign w:val="bottom"/>
          </w:tcPr>
          <w:p>
            <w:pPr>
              <w:ind w:left="30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63,171</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46,280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2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120,648,658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126,221,689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121,878,503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126,218,710</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121,540,094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126,222,366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122,456,565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126,219,115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2020" w:type="dxa"/>
            <w:vAlign w:val="bottom"/>
            <w:gridSpan w:val="4"/>
            <w:vMerge w:val="restart"/>
          </w:tcPr>
          <w:p>
            <w:pPr>
              <w:jc w:val="right"/>
              <w:ind w:right="339"/>
              <w:spacing w:after="0" w:line="162" w:lineRule="exact"/>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gridSpan w:val="4"/>
            <w:vMerge w:val="restart"/>
          </w:tcPr>
          <w:p>
            <w:pPr>
              <w:jc w:val="right"/>
              <w:ind w:right="359"/>
              <w:spacing w:after="0" w:line="162" w:lineRule="exact"/>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7"/>
                <w:szCs w:val="7"/>
                <w:color w:val="auto"/>
              </w:rPr>
            </w:pPr>
          </w:p>
        </w:tc>
        <w:tc>
          <w:tcPr>
            <w:tcW w:w="126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0"/>
        </w:trPr>
        <w:tc>
          <w:tcPr>
            <w:tcW w:w="316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3160" w:type="dxa"/>
            <w:vAlign w:val="bottom"/>
          </w:tcPr>
          <w:p>
            <w:pPr>
              <w:spacing w:after="0"/>
              <w:rPr>
                <w:sz w:val="17"/>
                <w:szCs w:val="17"/>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499,625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(215,819)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(4,552,126)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(72,264)</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212,824</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Restricted stock units issued, net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41,148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Shares repurchased, including excise tax</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(3,095,334)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(21,528)</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sectPr>
      </w:pPr>
    </w:p>
    <w:p>
      <w:pPr>
        <w:ind w:left="20" w:right="320"/>
        <w:spacing w:after="0" w:line="283" w:lineRule="auto"/>
        <w:rPr>
          <w:sz w:val="20"/>
          <w:szCs w:val="20"/>
          <w:color w:val="auto"/>
        </w:rPr>
      </w:pPr>
      <w:r>
        <w:rPr>
          <w:rFonts w:ascii="Arial" w:cs="Arial" w:eastAsia="Arial" w:hAnsi="Arial"/>
          <w:sz w:val="16"/>
          <w:szCs w:val="16"/>
          <w:b w:val="1"/>
          <w:bCs w:val="1"/>
          <w:color w:val="auto"/>
        </w:rPr>
        <w:t xml:space="preserve">Balance as of March 31, 2023 </w:t>
      </w:r>
      <w:r>
        <w:rPr>
          <w:rFonts w:ascii="Arial" w:cs="Arial" w:eastAsia="Arial" w:hAnsi="Arial"/>
          <w:sz w:val="16"/>
          <w:szCs w:val="16"/>
          <w:color w:val="auto"/>
        </w:rPr>
        <w:t>Share-based compensation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stock units issued, net of shares withheld for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98"/>
              </w:rPr>
              <w:t>128,198,185</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1,282</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500,530</w:t>
            </w:r>
          </w:p>
        </w:tc>
        <w:tc>
          <w:tcPr>
            <w:tcW w:w="3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(203,281)</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(7,606,312)</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(92,982)</w:t>
            </w:r>
          </w:p>
        </w:tc>
        <w:tc>
          <w:tcPr>
            <w:tcW w:w="3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205,549</w:t>
            </w:r>
          </w:p>
        </w:tc>
      </w:tr>
      <w:tr>
        <w:trPr>
          <w:trHeight w:val="207"/>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2,361</w:t>
            </w:r>
          </w:p>
        </w:tc>
        <w:tc>
          <w:tcPr>
            <w:tcW w:w="360" w:type="dxa"/>
            <w:vAlign w:val="bottom"/>
          </w:tcPr>
          <w:p>
            <w:pPr>
              <w:spacing w:after="0"/>
              <w:rPr>
                <w:sz w:val="17"/>
                <w:szCs w:val="17"/>
                <w:color w:val="auto"/>
              </w:rPr>
            </w:pPr>
          </w:p>
        </w:tc>
        <w:tc>
          <w:tcPr>
            <w:tcW w:w="1000" w:type="dxa"/>
            <w:vAlign w:val="bottom"/>
          </w:tcPr>
          <w:p>
            <w:pPr>
              <w:ind w:left="6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2,361</w:t>
            </w:r>
          </w:p>
        </w:tc>
      </w:tr>
      <w:tr>
        <w:trPr>
          <w:trHeight w:val="297"/>
        </w:trPr>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(1,517)</w:t>
            </w:r>
          </w:p>
        </w:tc>
        <w:tc>
          <w:tcPr>
            <w:tcW w:w="360" w:type="dxa"/>
            <w:vAlign w:val="bottom"/>
          </w:tcPr>
          <w:p>
            <w:pPr>
              <w:spacing w:after="0"/>
              <w:rPr>
                <w:sz w:val="24"/>
                <w:szCs w:val="24"/>
                <w:color w:val="auto"/>
              </w:rPr>
            </w:pPr>
          </w:p>
        </w:tc>
        <w:tc>
          <w:tcPr>
            <w:tcW w:w="1000" w:type="dxa"/>
            <w:vAlign w:val="bottom"/>
          </w:tcPr>
          <w:p>
            <w:pPr>
              <w:ind w:left="6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104,283</w:t>
            </w:r>
          </w:p>
        </w:tc>
        <w:tc>
          <w:tcPr>
            <w:tcW w:w="2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1,386</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-321310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580" w:space="600"/>
            <w:col w:w="804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11,371</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11,371</w:t>
            </w:r>
          </w:p>
        </w:tc>
      </w:tr>
      <w:tr>
        <w:trPr>
          <w:trHeight w:val="183"/>
        </w:trPr>
        <w:tc>
          <w:tcPr>
            <w:tcW w:w="31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June 30, 2023</w:t>
            </w:r>
          </w:p>
        </w:tc>
        <w:tc>
          <w:tcPr>
            <w:tcW w:w="10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128,198,185</w:t>
            </w:r>
          </w:p>
        </w:tc>
        <w:tc>
          <w:tcPr>
            <w:tcW w:w="360" w:type="dxa"/>
            <w:vAlign w:val="bottom"/>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1,282</w:t>
            </w:r>
          </w:p>
        </w:tc>
        <w:tc>
          <w:tcPr>
            <w:tcW w:w="40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501,374</w:t>
            </w:r>
          </w:p>
        </w:tc>
        <w:tc>
          <w:tcPr>
            <w:tcW w:w="40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(191,910)</w:t>
            </w:r>
          </w:p>
        </w:tc>
        <w:tc>
          <w:tcPr>
            <w:tcW w:w="10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(7,502,029)</w:t>
            </w:r>
          </w:p>
        </w:tc>
        <w:tc>
          <w:tcPr>
            <w:tcW w:w="30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(91,596)</w:t>
            </w:r>
          </w:p>
        </w:tc>
        <w:tc>
          <w:tcPr>
            <w:tcW w:w="420" w:type="dxa"/>
            <w:vAlign w:val="bottom"/>
            <w:gridSpan w:val="2"/>
          </w:tcPr>
          <w:p>
            <w:pPr>
              <w:jc w:val="right"/>
              <w:ind w:right="240"/>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219,150</w:t>
            </w:r>
          </w:p>
        </w:tc>
      </w:tr>
      <w:tr>
        <w:trPr>
          <w:trHeight w:val="20"/>
        </w:trPr>
        <w:tc>
          <w:tcPr>
            <w:tcW w:w="3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Balance as of December 31, 2021 </w:t>
      </w:r>
      <w:r>
        <w:rPr>
          <w:rFonts w:ascii="Arial" w:cs="Arial" w:eastAsia="Arial" w:hAnsi="Arial"/>
          <w:sz w:val="16"/>
          <w:szCs w:val="16"/>
          <w:color w:val="auto"/>
        </w:rPr>
        <w:t>Share-based compensation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stock units issued, net of shares withheld for taxes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March 31, 2022</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stock units issued, net of shares withheld for taxes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June 30, 2022</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2020" w:type="dxa"/>
            <w:vAlign w:val="bottom"/>
            <w:gridSpan w:val="4"/>
            <w:vMerge w:val="restart"/>
          </w:tcPr>
          <w:p>
            <w:pPr>
              <w:jc w:val="right"/>
              <w:ind w:right="339"/>
              <w:spacing w:after="0" w:line="162" w:lineRule="exact"/>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restart"/>
          </w:tcPr>
          <w:p>
            <w:pPr>
              <w:jc w:val="center"/>
              <w:ind w:right="99"/>
              <w:spacing w:after="0" w:line="16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gridSpan w:val="4"/>
            <w:vMerge w:val="restart"/>
          </w:tcPr>
          <w:p>
            <w:pPr>
              <w:jc w:val="right"/>
              <w:ind w:right="359"/>
              <w:spacing w:after="0" w:line="162" w:lineRule="exact"/>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7"/>
                <w:szCs w:val="7"/>
                <w:color w:val="auto"/>
              </w:rPr>
            </w:pPr>
          </w:p>
        </w:tc>
        <w:tc>
          <w:tcPr>
            <w:tcW w:w="126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20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496,983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(282,439)</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(1,985,309)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(56,844)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158,982</w:t>
            </w:r>
          </w:p>
        </w:tc>
        <w:tc>
          <w:tcPr>
            <w:tcW w:w="0" w:type="dxa"/>
            <w:vAlign w:val="bottom"/>
          </w:tcPr>
          <w:p>
            <w:pPr>
              <w:spacing w:after="0"/>
              <w:rPr>
                <w:sz w:val="1"/>
                <w:szCs w:val="1"/>
                <w:color w:val="auto"/>
              </w:rPr>
            </w:pPr>
          </w:p>
        </w:tc>
      </w:tr>
      <w:tr>
        <w:trPr>
          <w:trHeight w:val="207"/>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97"/>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5,079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00"/>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23,154</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23,154</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498,057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(259,285)</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(1,980,230)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(56,676)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183,378</w:t>
            </w:r>
          </w:p>
        </w:tc>
        <w:tc>
          <w:tcPr>
            <w:tcW w:w="0" w:type="dxa"/>
            <w:vAlign w:val="bottom"/>
          </w:tcPr>
          <w:p>
            <w:pPr>
              <w:spacing w:after="0"/>
              <w:rPr>
                <w:sz w:val="1"/>
                <w:szCs w:val="1"/>
                <w:color w:val="auto"/>
              </w:rPr>
            </w:pPr>
          </w:p>
        </w:tc>
      </w:tr>
      <w:tr>
        <w:trPr>
          <w:trHeight w:val="207"/>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97"/>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7,595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00"/>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23,126</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1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498,745</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(236,159)</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(1,972,635)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(56,400)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207,468</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-1490980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-1216660</wp:posOffset>
            </wp:positionV>
            <wp:extent cx="711517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-831215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-556895</wp:posOffset>
            </wp:positionV>
            <wp:extent cx="711517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-170815</wp:posOffset>
            </wp:positionV>
            <wp:extent cx="71151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2580" w:space="580"/>
            <w:col w:w="8060"/>
          </w:cols>
          <w:pgMar w:left="320" w:top="125"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Borders>
              <w:bottom w:val="single" w:sz="8" w:color="auto"/>
            </w:tcBorders>
          </w:tcPr>
          <w:p>
            <w:pPr>
              <w:spacing w:after="0"/>
              <w:rPr>
                <w:sz w:val="19"/>
                <w:szCs w:val="19"/>
                <w:color w:val="auto"/>
              </w:rPr>
            </w:pPr>
          </w:p>
        </w:tc>
      </w:tr>
      <w:tr>
        <w:trPr>
          <w:trHeight w:val="210"/>
        </w:trPr>
        <w:tc>
          <w:tcPr>
            <w:tcW w:w="7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Pr>
          <w:p>
            <w:pPr>
              <w:spacing w:after="0"/>
              <w:rPr>
                <w:sz w:val="18"/>
                <w:szCs w:val="18"/>
                <w:color w:val="auto"/>
              </w:rPr>
            </w:pPr>
          </w:p>
        </w:tc>
      </w:tr>
      <w:tr>
        <w:trPr>
          <w:trHeight w:val="19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23,909</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46,280</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4,163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2,269</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property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53"/>
        </w:trPr>
        <w:tc>
          <w:tcPr>
            <w:tcW w:w="760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10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4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w:t>
            </w: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(998)</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Changes in assets &amp;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Contract assets,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15,775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6,208</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Income tax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(2,964)</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45,579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53,587</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Purchase of property and equipment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Capitalized software development costs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(843)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(364)</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Payments on term loans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(1,562)</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Shares withheld for taxes related to restricted stock units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(23,473)</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(1,625)</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and restricted cash</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21,263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51,598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the beginning of the period</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208,519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119,509</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229,782</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171,107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4,974</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1,756</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paid (refunded), net</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20,853</w:t>
            </w: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accrued but not paid</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Share-based compensation for capitalized software development</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 accrued but not paid</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Accrued excise tax associated with share repurchases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190</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Open Lending Corporation (either individually or together with its subsidiaries, as the context requires, the “Company”),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flagship product, Lenders Protection Platform (“LPP”), is a cloud-based automotive lending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contract interest rate. LPP generates a risk-based, all-inclusive interest rate for a loan that is customized to each automotive lender, reflecting cost of capital, loan servicing and acquisition costs, expected recovery rates and target return on assets.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completed a business combination pursuant to that certain Business Combination Agreement by and among Nebula, Open Lending, LLC, BRP Hold 11, Inc. (the “Blocker”), the Blocker’s sole stockholder, Nebula Parent Corp., NBLA Merger Sub LLC, NBLA Merger Sub Corp. and Shareholder Representative Services LLC, as the security holder representative, each as defined in the Business Combination Agreement (the “Business Combination”).</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 to Open Lending, LLC and Nebula Acquisition Corporation, respectively, prior to the Closing Date.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U.S., and all of its revenues are attributable to U.S. customers.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accumulated deficit.</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The Company believes the disclosures made in these unaudited condensed consolidated financial statements are adequate to make the information herein not misleading. The Company recommends that these unaudited condensed consolidated financial statements be read in conjunction with its audited consolidated financial statements and related notes thereto included in the Company’s Annual Report on Form 10-K for the year ended December 31, 2022 (the “Annual Report”).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interim data includes all adjustments that are of a normal recurring nature, in the opinion of the Company’s management, necessary for a fair statement of the results for the interim periods presented. The results of operations for the three and six months ended June 30, 2023 are not necessarily indicative of the Company’s operating results for the entire fiscal year ending December 31,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Concentrations of revenue and credit risks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two largest insurance carrier partners accounted for 34% and 10% of the Company’s total revenue during the three months ended June 30, 2023, and 34% and 11% during the six months ended June 30, 2023, respectively. The Company’s three largest insurance carrier partners accounted for 38%, 11% and 11% of the Company's total revenue during the three months ended June 30, 2022 and 38%, 13% and 10% during the six months ended June 30, 2022, respectively.</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accounts receivable and contract assets to the extent of the amounts recorded on the balance sheets.</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are deposited in commercial analysis accounts, money market funds and U.S. Treasury securities at financial institutions with high credit standing. Restricted cash relates to funds held by the Company on behalf of the insurance carriers, delegated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accounts receivable and contract assets are derived from revenue earned from customers. The Company maintains an allowance for expected credit losses, which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 could be further adjusted. The Company does not have any material accounts receivable or contract assets receivable balances that are past due and has not written off any balances in its portfolio for the periods presented. The allowance for expected credit losses on accounts receivable and contract assets receivable, in the aggregate, was approximately $0.1 million at June 30, 2023 and December 31, 2022.</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June 30, 2023 and December 31, 2022, the Company had one customer that individually accounted for 15% and 12%, respectively, of the Company’s accounts receivable.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estimates and judgments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the recognition of the valuations of share-based compensation arrangements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profit share revenue recognition and the estimation of contract assets, the Company uses a forecast model to estimate variable consideration based on undiscounted expected future profit share to be received from the insurance carriers. The forecast model projects loan-level earned premiums and insurance claim 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revenue will not occur in future periods.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continually assesses the default and prepayment assumptions of the forecast model against reported performance and lender delinquency data. The forecast model is updated to align the default and prepayment rate projections with actual experience.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Recently issued but not yet adopted accounting pronouncements</w:t>
      </w:r>
    </w:p>
    <w:p>
      <w:pPr>
        <w:spacing w:after="0" w:line="200" w:lineRule="exact"/>
        <w:rPr>
          <w:sz w:val="20"/>
          <w:szCs w:val="20"/>
          <w:color w:val="auto"/>
        </w:rPr>
      </w:pPr>
    </w:p>
    <w:p>
      <w:pPr>
        <w:spacing w:after="0" w:line="2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there may be other new accounting pronouncements issued or proposed by the FASB, which the Company has adopted or may adopt, as applicable, the Company believes none of these accounting pronouncements has materially impacted or will materially impact the Company’s consolidated financial position or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and six months ended June 30, 2023, contract asset adjustments attributable to profit share revenue forecast adjustments resulted in decreases of $1.2 million and $0.5 million, respectively, as compared to increases of $2.8 million and $5.5 million, respectively, during the three and six months ended June 30, 2022.</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148" w:lineRule="exact"/>
        <w:rPr>
          <w:sz w:val="20"/>
          <w:szCs w:val="20"/>
          <w:color w:val="auto"/>
        </w:rPr>
      </w:pPr>
    </w:p>
    <w:p>
      <w:pPr>
        <w:jc w:val="right"/>
        <w:ind w:right="2420"/>
        <w:spacing w:after="0"/>
        <w:rPr>
          <w:sz w:val="20"/>
          <w:szCs w:val="20"/>
          <w:color w:val="auto"/>
        </w:rPr>
      </w:pPr>
      <w:r>
        <w:rPr>
          <w:rFonts w:ascii="Arial" w:cs="Arial" w:eastAsia="Arial" w:hAnsi="Arial"/>
          <w:sz w:val="18"/>
          <w:szCs w:val="18"/>
          <w:b w:val="1"/>
          <w:bCs w:val="1"/>
          <w:color w:val="auto"/>
        </w:rPr>
        <w:t>Contract Assets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March 31, 2023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of contract asset due to new business generation</w:t>
      </w:r>
    </w:p>
    <w:p>
      <w:pPr>
        <w:spacing w:after="0" w:line="23" w:lineRule="exact"/>
        <w:rPr>
          <w:sz w:val="20"/>
          <w:szCs w:val="20"/>
          <w:color w:val="auto"/>
        </w:rPr>
      </w:pPr>
    </w:p>
    <w:p>
      <w:pPr>
        <w:ind w:left="20" w:right="240"/>
        <w:spacing w:after="0" w:line="256" w:lineRule="auto"/>
        <w:rPr>
          <w:sz w:val="20"/>
          <w:szCs w:val="20"/>
          <w:color w:val="auto"/>
        </w:rPr>
      </w:pPr>
      <w:r>
        <w:rPr>
          <w:rFonts w:ascii="Arial" w:cs="Arial" w:eastAsia="Arial" w:hAnsi="Arial"/>
          <w:sz w:val="17"/>
          <w:szCs w:val="17"/>
          <w:color w:val="auto"/>
        </w:rPr>
        <w:t>Adjustment of contract asset due to estimation of revenue from performance obligations satisfied in previous periods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Receivables transferred from contract assets upon billing the lending institutions</w:t>
      </w:r>
    </w:p>
    <w:p>
      <w:pPr>
        <w:spacing w:after="0" w:line="1" w:lineRule="exact"/>
        <w:rPr>
          <w:sz w:val="20"/>
          <w:szCs w:val="20"/>
          <w:color w:val="auto"/>
        </w:rPr>
      </w:pPr>
    </w:p>
    <w:p>
      <w:pPr>
        <w:ind w:left="20" w:right="1420"/>
        <w:spacing w:after="0" w:line="308" w:lineRule="auto"/>
        <w:rPr>
          <w:sz w:val="20"/>
          <w:szCs w:val="20"/>
          <w:color w:val="auto"/>
        </w:rPr>
      </w:pPr>
      <w:r>
        <w:rPr>
          <w:rFonts w:ascii="Arial" w:cs="Arial" w:eastAsia="Arial" w:hAnsi="Arial"/>
          <w:sz w:val="17"/>
          <w:szCs w:val="17"/>
          <w:color w:val="auto"/>
        </w:rPr>
        <w:t>Payments received from insurance carriers Provision for expected credit losses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June 30, 2023</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Profit</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231"/>
              <w:spacing w:after="0"/>
              <w:rPr>
                <w:sz w:val="20"/>
                <w:szCs w:val="20"/>
                <w:color w:val="auto"/>
              </w:rPr>
            </w:pPr>
            <w:r>
              <w:rPr>
                <w:rFonts w:ascii="Arial" w:cs="Arial" w:eastAsia="Arial" w:hAnsi="Arial"/>
                <w:sz w:val="18"/>
                <w:szCs w:val="18"/>
                <w:b w:val="1"/>
                <w:bCs w:val="1"/>
                <w:color w:val="auto"/>
              </w:rPr>
              <w:t>Program</w:t>
            </w: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Claims</w:t>
            </w: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auto"/>
              </w:rPr>
              <w:t>Administration and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Fees</w:t>
            </w: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Other Service Fees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3"/>
          </w:tcPr>
          <w:p>
            <w:pPr>
              <w:jc w:val="right"/>
              <w:ind w:right="41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56,641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7,661</w:t>
            </w:r>
          </w:p>
        </w:tc>
        <w:tc>
          <w:tcPr>
            <w:tcW w:w="128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65,942</w:t>
            </w:r>
          </w:p>
        </w:tc>
        <w:tc>
          <w:tcPr>
            <w:tcW w:w="0" w:type="dxa"/>
            <w:vAlign w:val="bottom"/>
          </w:tcPr>
          <w:p>
            <w:pPr>
              <w:spacing w:after="0"/>
              <w:rPr>
                <w:sz w:val="1"/>
                <w:szCs w:val="1"/>
                <w:color w:val="auto"/>
              </w:rPr>
            </w:pPr>
          </w:p>
        </w:tc>
      </w:tr>
      <w:tr>
        <w:trPr>
          <w:trHeight w:val="231"/>
        </w:trPr>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17,893</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39,328</w:t>
            </w: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418"/>
        </w:trPr>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(18,623)</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(18,623)</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(25,801)</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6,927</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59,655</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-1448435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-1156970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-744855</wp:posOffset>
            </wp:positionV>
            <wp:extent cx="713232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-334010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Assets</w:t>
      </w:r>
    </w:p>
    <w:p>
      <w:pPr>
        <w:spacing w:after="0" w:line="32" w:lineRule="exact"/>
        <w:rPr>
          <w:sz w:val="20"/>
          <w:szCs w:val="20"/>
          <w:color w:val="auto"/>
        </w:rPr>
      </w:pPr>
    </w:p>
    <w:p>
      <w:pPr>
        <w:sectPr>
          <w:pgSz w:w="11900" w:h="16838" w:orient="portrait"/>
          <w:cols w:equalWidth="0" w:num="2">
            <w:col w:w="4860" w:space="180"/>
            <w:col w:w="620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Profit</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ind w:right="231"/>
              <w:spacing w:after="0"/>
              <w:rPr>
                <w:sz w:val="20"/>
                <w:szCs w:val="20"/>
                <w:color w:val="auto"/>
              </w:rPr>
            </w:pPr>
            <w:r>
              <w:rPr>
                <w:rFonts w:ascii="Arial" w:cs="Arial" w:eastAsia="Arial" w:hAnsi="Arial"/>
                <w:sz w:val="18"/>
                <w:szCs w:val="18"/>
                <w:b w:val="1"/>
                <w:bCs w:val="1"/>
                <w:color w:val="auto"/>
              </w:rPr>
              <w:t>Program</w:t>
            </w: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Claims</w:t>
            </w: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auto"/>
              </w:rPr>
              <w:t>Administration and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Fees</w:t>
            </w: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Other Service Fees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ind w:right="41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65,889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7,932</w:t>
            </w:r>
          </w:p>
        </w:tc>
        <w:tc>
          <w:tcPr>
            <w:tcW w:w="128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1,609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75,430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76,975</w:t>
            </w: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line="176" w:lineRule="exact"/>
              <w:rPr>
                <w:sz w:val="20"/>
                <w:szCs w:val="20"/>
                <w:color w:val="auto"/>
              </w:rPr>
            </w:pPr>
            <w:r>
              <w:rPr>
                <w:rFonts w:ascii="Arial" w:cs="Arial" w:eastAsia="Arial" w:hAnsi="Arial"/>
                <w:sz w:val="18"/>
                <w:szCs w:val="18"/>
                <w:color w:val="auto"/>
              </w:rPr>
              <w:t>Adjustment of contract assets due to estimation of revenue</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from performance obligations satisfied in previous periods</w:t>
            </w:r>
          </w:p>
        </w:tc>
        <w:tc>
          <w:tcPr>
            <w:tcW w:w="2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Receivables transferred from contract assets upon billing the</w:t>
            </w: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lending institutions</w:t>
            </w: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(4,721)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(56,111)</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June 30, 2023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6,927</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59,655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and December 31, 2022, the Company’s contract assets consisted of $33.7 million and $54.4 million, respectively, as the portion estimated to be received within one year and $26.0 million and $21.0 million, respectively, as the non-current portion to be received beyond one year.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600" w:type="dxa"/>
            <w:vAlign w:val="bottom"/>
          </w:tcPr>
          <w:p>
            <w:pPr>
              <w:spacing w:after="0"/>
              <w:rPr>
                <w:sz w:val="20"/>
                <w:szCs w:val="20"/>
                <w:color w:val="auto"/>
              </w:rPr>
            </w:pPr>
            <w:r>
              <w:rPr>
                <w:rFonts w:ascii="Arial" w:cs="Arial" w:eastAsia="Arial" w:hAnsi="Arial"/>
                <w:sz w:val="18"/>
                <w:szCs w:val="18"/>
                <w:b w:val="1"/>
                <w:bCs w:val="1"/>
                <w:color w:val="auto"/>
              </w:rPr>
              <w:t>Note 4—Long-term Debt</w:t>
            </w: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12"/>
        </w:trPr>
        <w:tc>
          <w:tcPr>
            <w:tcW w:w="8860" w:type="dxa"/>
            <w:vAlign w:val="bottom"/>
            <w:gridSpan w:val="3"/>
          </w:tcPr>
          <w:p>
            <w:pPr>
              <w:spacing w:after="0"/>
              <w:rPr>
                <w:sz w:val="20"/>
                <w:szCs w:val="20"/>
                <w:color w:val="auto"/>
              </w:rPr>
            </w:pPr>
            <w:r>
              <w:rPr>
                <w:rFonts w:ascii="Arial" w:cs="Arial" w:eastAsia="Arial" w:hAnsi="Arial"/>
                <w:sz w:val="18"/>
                <w:szCs w:val="18"/>
                <w:color w:val="auto"/>
              </w:rPr>
              <w:t>The following table provides a summary of the Company’s debt as of the periods indicated: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1"/>
        </w:trPr>
        <w:tc>
          <w:tcPr>
            <w:tcW w:w="66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300" w:type="dxa"/>
            <w:vAlign w:val="bottom"/>
            <w:gridSpan w:val="4"/>
            <w:shd w:val="clear" w:color="auto" w:fill="CCEEFF"/>
          </w:tcPr>
          <w:p>
            <w:pPr>
              <w:jc w:val="right"/>
              <w:ind w:right="1710"/>
              <w:spacing w:after="0"/>
              <w:rPr>
                <w:sz w:val="20"/>
                <w:szCs w:val="20"/>
                <w:color w:val="auto"/>
              </w:rPr>
            </w:pPr>
            <w:r>
              <w:rPr>
                <w:rFonts w:ascii="Arial" w:cs="Arial" w:eastAsia="Arial" w:hAnsi="Arial"/>
                <w:sz w:val="16"/>
                <w:szCs w:val="16"/>
                <w:i w:val="1"/>
                <w:iCs w:val="1"/>
                <w:color w:val="auto"/>
              </w:rPr>
              <w:t>(in thousands)</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147,187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149,063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147,433</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Less: current portion of debt</w:t>
            </w: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r>
      <w:tr>
        <w:trPr>
          <w:trHeight w:val="29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141,984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143,683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Agreement—Term Loan due 2027 and Revolving Credit Facility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9, 2022, the Company entered into a First Amendment to its existing Credit Agreement (the “First Amendment”) with Wells Fargo Bank, N.A., as the administrative agent, and the financial institutions party thereto, as the lenders. The First Amendment provided the Company senior secured credit facilities in an aggregate principal amount of $300.0 million, which (i) established a term loan due 2027 with a principal amount of $150.0 million (the “Term Loan due 2027”), and (ii) increased the borrowing capacity on the existing revolving credit facility to $150.0 million (the “Revolving Credit Facility”), both scheduled to mature on September 9, 2027 (collectively, the “Credit Agreement”).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used proceeds from the Term Loan due 2027 to pay off all outstanding amounts under its prior credit agreement and pay transaction costs related to the First Amendment. The remaining proceeds were used for working capital and other general corporate purposes. The transaction was treated as a debt modification under ASC Topic 470-50, </w:t>
      </w:r>
      <w:r>
        <w:rPr>
          <w:rFonts w:ascii="Arial" w:cs="Arial" w:eastAsia="Arial" w:hAnsi="Arial"/>
          <w:sz w:val="18"/>
          <w:szCs w:val="18"/>
          <w:i w:val="1"/>
          <w:iCs w:val="1"/>
          <w:color w:val="auto"/>
        </w:rPr>
        <w:t>Debt — Modifications and Extinguishments</w:t>
      </w:r>
      <w:r>
        <w:rPr>
          <w:rFonts w:ascii="Arial" w:cs="Arial" w:eastAsia="Arial" w:hAnsi="Arial"/>
          <w:sz w:val="18"/>
          <w:szCs w:val="18"/>
          <w:color w:val="auto"/>
        </w:rPr>
        <w:t>.</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obligations of the Company under the Credit Agreement are guaranteed by all of the Company’s U.S. subsidiaries and are secured by substantially all of the assets of the Company and its U.S. subsidiaries, subject to customary exceptions.</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Borrowings under the Credit Agreement bear interest at a rate equal to either (i) an Alternate Base rate (“ABR”) or (ii) the term Secured Overnight Financing Rate (“SOFR”) plus 0.100% (“Adjusted SOFR”) plus a spread that is based upon the Company’s total net leverage ratio. The spread ranges from 0.625% to 1.375% per annum for ABR loans and 1.625% to 2.375% per annum for Adjusted SOFR loans. With respect to the ABR loans, interest will be payable at the end of each calendar quarter. With respect to the Adjusted SOFR loans, interest will be payable at the end of the selected interest period (at least quarterly). Additionally, there is an unused commitment fee payable at the end of each quarter at a rate per annum ranging from 0.150%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Credit Agreement was subject to an Adjusted SOFR rate of 5.143% plus a spread of 1.625% per annum. Commitment fees were accrued at 0.150% under the Revolving Credit Facility’s unused commitment balance of $150.0 million as of June 30, 2023. As of June 30, 2023, the effective interest rate on the Company’s outstanding borrowings was 7.014%.</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the Credit Agreement, the Company incurred aggregate deferred financing costs of $2.6 million, of which (i) $2.1 million was allocated to the related term loans and capitalized as a contra-liability against the principal balance of the term loans, and (ii) $0.5 million was allocated to the Revolving Credit Facility and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These deferred financing costs are amortized as interest expense using the effective interest method over the term of the Credit Agreement. Unamortized deferred financing costs related to the Term Loan due 2027 and the Revolving Credit Facility were $1.5 million and $0.3 million, respectively, as of June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Credit Agreement contains a maximum total net leverage ratio financial covenant and a minimum fixed charge coverage ratio financial covenant, which are tested quarterly. The maximum total net leverage ratio is 3.5:1 for any fiscal quarter ending on or prior to June 30, 2024 and then decreases to 3.0:1 for any fiscal quarter ending after June 30, 2024. The minimum fixed charge coverage ratio is 1.25:1. As of June 30, 2023, the Company was in compliance with all required covenants under the Credit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5—Income Taxes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June 30, 2023, the Company recognized income tax expense of $4.1 million and $8.4 million, respectively, resulting in effective tax rates of 26.7% and 25.9%, respectively. During the three and six months ended June 30, 2022, the Company recognized income tax expense of $8.6 million and $16.9 million, respectively, resulting in effective tax rates of 27.1% and 26.7%, respectively. The Company’s income tax expense for the three and six months ended June 30, 2023 and June 30, 2022 differs from amounts computed by applying the U.S. federal statutory tax rate of 21% primarily due to state income tax expenses and the officer’s compensation limitation under Section 162m.</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2023,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June 30, 2023.</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2023, the Company changed its policy to recognize interest and penalties related to income taxes as a component of income tax expense to better align the classification with the substance of the associated transactions. This accounting policy change has no impact to net income or basic and diluted earnings per share, or to the unaudited Condensed Consolidated Statements of Operations, for any previous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and six months ended June 30, 2023 and 2022 include unvested and unexercised stock options, unvested time-based restricted stock units and unvested performance-based restricted stock units whose performance conditions have been satisfied. The potentially dilutive common shares during the same periods did not include performance-based restricted stock units if the performance conditions of these awards have not been satisfied.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and six months ended June 30, 2023 and 2022:</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Basic net income per share: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Numerator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Net income attributable to common stockholders </w:t>
      </w:r>
      <w:r>
        <w:rPr>
          <w:rFonts w:ascii="Arial" w:cs="Arial" w:eastAsia="Arial" w:hAnsi="Arial"/>
          <w:sz w:val="18"/>
          <w:szCs w:val="18"/>
          <w:b w:val="1"/>
          <w:bCs w:val="1"/>
          <w:color w:val="auto"/>
        </w:rPr>
        <w: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Denominator</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Weighted-average common shares outstanding</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80" w:type="dxa"/>
            <w:vAlign w:val="bottom"/>
            <w:gridSpan w:val="2"/>
          </w:tcPr>
          <w:p>
            <w:pPr>
              <w:ind w:left="160"/>
              <w:spacing w:after="0"/>
              <w:rPr>
                <w:sz w:val="20"/>
                <w:szCs w:val="20"/>
                <w:color w:val="auto"/>
              </w:rPr>
            </w:pPr>
            <w:r>
              <w:rPr>
                <w:rFonts w:ascii="Arial" w:cs="Arial" w:eastAsia="Arial" w:hAnsi="Arial"/>
                <w:sz w:val="18"/>
                <w:szCs w:val="18"/>
                <w:b w:val="1"/>
                <w:bCs w:val="1"/>
                <w:color w:val="auto"/>
              </w:rPr>
              <w:t>Basic net income per share attributable to</w:t>
            </w:r>
          </w:p>
        </w:tc>
        <w:tc>
          <w:tcPr>
            <w:tcW w:w="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1"/>
        </w:trPr>
        <w:tc>
          <w:tcPr>
            <w:tcW w:w="40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common stockholders</w:t>
            </w:r>
          </w:p>
        </w:tc>
        <w:tc>
          <w:tcPr>
            <w:tcW w:w="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Diluted net income per share:</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08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Numerator</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80" w:firstLine="324"/>
        <w:spacing w:after="0" w:line="313" w:lineRule="auto"/>
        <w:rPr>
          <w:sz w:val="20"/>
          <w:szCs w:val="20"/>
          <w:color w:val="auto"/>
        </w:rPr>
      </w:pPr>
      <w:r>
        <w:rPr>
          <w:rFonts w:ascii="Arial" w:cs="Arial" w:eastAsia="Arial" w:hAnsi="Arial"/>
          <w:sz w:val="18"/>
          <w:szCs w:val="18"/>
          <w:color w:val="auto"/>
        </w:rPr>
        <w:t xml:space="preserve">Net income attributable to common stockholders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Denominator</w:t>
      </w:r>
    </w:p>
    <w:p>
      <w:pPr>
        <w:ind w:left="520" w:right="760"/>
        <w:spacing w:after="0" w:line="275" w:lineRule="auto"/>
        <w:rPr>
          <w:sz w:val="20"/>
          <w:szCs w:val="20"/>
          <w:color w:val="auto"/>
        </w:rPr>
      </w:pPr>
      <w:r>
        <w:rPr>
          <w:rFonts w:ascii="Arial" w:cs="Arial" w:eastAsia="Arial" w:hAnsi="Arial"/>
          <w:sz w:val="18"/>
          <w:szCs w:val="18"/>
          <w:color w:val="auto"/>
        </w:rPr>
        <w:t>Basic weighted-average common shares outstanding</w:t>
      </w:r>
    </w:p>
    <w:p>
      <w:pPr>
        <w:spacing w:after="0" w:line="12" w:lineRule="exact"/>
        <w:rPr>
          <w:sz w:val="20"/>
          <w:szCs w:val="20"/>
          <w:color w:val="auto"/>
        </w:rPr>
      </w:pPr>
    </w:p>
    <w:p>
      <w:pPr>
        <w:ind w:left="520" w:right="540"/>
        <w:spacing w:after="0" w:line="275" w:lineRule="auto"/>
        <w:rPr>
          <w:sz w:val="20"/>
          <w:szCs w:val="20"/>
          <w:color w:val="auto"/>
        </w:rPr>
      </w:pPr>
      <w:r>
        <w:rPr>
          <w:rFonts w:ascii="Arial" w:cs="Arial" w:eastAsia="Arial" w:hAnsi="Arial"/>
          <w:sz w:val="18"/>
          <w:szCs w:val="18"/>
          <w:color w:val="auto"/>
        </w:rPr>
        <w:t>Dilutive effect of time-based restricted stock units outstanding</w:t>
      </w:r>
    </w:p>
    <w:p>
      <w:pPr>
        <w:spacing w:after="0" w:line="12" w:lineRule="exact"/>
        <w:rPr>
          <w:sz w:val="20"/>
          <w:szCs w:val="20"/>
          <w:color w:val="auto"/>
        </w:rPr>
      </w:pPr>
    </w:p>
    <w:p>
      <w:pPr>
        <w:ind w:left="520" w:right="640"/>
        <w:spacing w:after="0" w:line="275" w:lineRule="auto"/>
        <w:rPr>
          <w:sz w:val="20"/>
          <w:szCs w:val="20"/>
          <w:color w:val="auto"/>
        </w:rPr>
      </w:pPr>
      <w:r>
        <w:rPr>
          <w:rFonts w:ascii="Arial" w:cs="Arial" w:eastAsia="Arial" w:hAnsi="Arial"/>
          <w:sz w:val="18"/>
          <w:szCs w:val="18"/>
          <w:color w:val="auto"/>
        </w:rPr>
        <w:t>Diluted weighted average common shares outstanding</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Diluted net income per share attributable to</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1"/>
        </w:trPr>
        <w:tc>
          <w:tcPr>
            <w:tcW w:w="3980" w:type="dxa"/>
            <w:vAlign w:val="bottom"/>
          </w:tcPr>
          <w:p>
            <w:pPr>
              <w:spacing w:after="0"/>
              <w:rPr>
                <w:sz w:val="20"/>
                <w:szCs w:val="20"/>
                <w:color w:val="auto"/>
              </w:rPr>
            </w:pPr>
            <w:r>
              <w:rPr>
                <w:rFonts w:ascii="Arial" w:cs="Arial" w:eastAsia="Arial" w:hAnsi="Arial"/>
                <w:sz w:val="18"/>
                <w:szCs w:val="18"/>
                <w:b w:val="1"/>
                <w:bCs w:val="1"/>
                <w:color w:val="auto"/>
              </w:rPr>
              <w:t>common stockholders</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1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46"/>
        </w:trPr>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6"/>
        </w:trPr>
        <w:tc>
          <w:tcPr>
            <w:tcW w:w="1180" w:type="dxa"/>
            <w:vAlign w:val="bottom"/>
          </w:tcPr>
          <w:p>
            <w:pPr>
              <w:spacing w:after="0"/>
              <w:rPr>
                <w:sz w:val="18"/>
                <w:szCs w:val="18"/>
                <w:color w:val="auto"/>
              </w:rPr>
            </w:pPr>
          </w:p>
        </w:tc>
        <w:tc>
          <w:tcPr>
            <w:tcW w:w="3660" w:type="dxa"/>
            <w:vAlign w:val="bottom"/>
            <w:gridSpan w:val="7"/>
          </w:tcPr>
          <w:p>
            <w:pPr>
              <w:ind w:left="80"/>
              <w:spacing w:after="0"/>
              <w:rPr>
                <w:sz w:val="20"/>
                <w:szCs w:val="20"/>
                <w:color w:val="auto"/>
              </w:rPr>
            </w:pPr>
            <w:r>
              <w:rPr>
                <w:rFonts w:ascii="Arial" w:cs="Arial" w:eastAsia="Arial" w:hAnsi="Arial"/>
                <w:sz w:val="16"/>
                <w:szCs w:val="16"/>
                <w:i w:val="1"/>
                <w:iCs w:val="1"/>
                <w:color w:val="auto"/>
              </w:rPr>
              <w:t>(in thousands, except shares and per share data)</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814"/>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11,371</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23,126</w:t>
            </w:r>
          </w:p>
        </w:tc>
        <w:tc>
          <w:tcPr>
            <w:tcW w:w="1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23,909</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46,280</w:t>
            </w:r>
          </w:p>
        </w:tc>
      </w:tr>
      <w:tr>
        <w:trPr>
          <w:trHeight w:val="548"/>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120,648,658</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126,221,689</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121,878,503</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126,218,710</w:t>
            </w:r>
          </w:p>
        </w:tc>
      </w:tr>
      <w:tr>
        <w:trPr>
          <w:trHeight w:val="453"/>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6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0.18</w:t>
            </w:r>
          </w:p>
        </w:tc>
        <w:tc>
          <w:tcPr>
            <w:tcW w:w="16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4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0.37</w:t>
            </w:r>
          </w:p>
        </w:tc>
      </w:tr>
      <w:tr>
        <w:trPr>
          <w:trHeight w:val="27"/>
        </w:trPr>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058"/>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11,371</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23,126</w:t>
            </w:r>
          </w:p>
        </w:tc>
        <w:tc>
          <w:tcPr>
            <w:tcW w:w="1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23,909</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46,280</w:t>
            </w:r>
          </w:p>
        </w:tc>
      </w:tr>
      <w:tr>
        <w:trPr>
          <w:trHeight w:val="744"/>
        </w:trPr>
        <w:tc>
          <w:tcPr>
            <w:tcW w:w="1180" w:type="dxa"/>
            <w:vAlign w:val="bottom"/>
          </w:tcPr>
          <w:p>
            <w:pPr>
              <w:jc w:val="right"/>
              <w:spacing w:after="0"/>
              <w:rPr>
                <w:sz w:val="20"/>
                <w:szCs w:val="20"/>
                <w:color w:val="auto"/>
              </w:rPr>
            </w:pPr>
            <w:r>
              <w:rPr>
                <w:rFonts w:ascii="Arial" w:cs="Arial" w:eastAsia="Arial" w:hAnsi="Arial"/>
                <w:sz w:val="18"/>
                <w:szCs w:val="18"/>
                <w:color w:val="auto"/>
              </w:rPr>
              <w:t>120,648,658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126,221,689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121,878,503</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126,218,710</w:t>
            </w:r>
          </w:p>
        </w:tc>
      </w:tr>
      <w:tr>
        <w:trPr>
          <w:trHeight w:val="473"/>
        </w:trPr>
        <w:tc>
          <w:tcPr>
            <w:tcW w:w="1180" w:type="dxa"/>
            <w:vAlign w:val="bottom"/>
          </w:tcPr>
          <w:p>
            <w:pPr>
              <w:jc w:val="right"/>
              <w:spacing w:after="0"/>
              <w:rPr>
                <w:sz w:val="20"/>
                <w:szCs w:val="20"/>
                <w:color w:val="auto"/>
              </w:rPr>
            </w:pPr>
            <w:r>
              <w:rPr>
                <w:rFonts w:ascii="Arial" w:cs="Arial" w:eastAsia="Arial" w:hAnsi="Arial"/>
                <w:sz w:val="18"/>
                <w:szCs w:val="18"/>
                <w:color w:val="auto"/>
              </w:rPr>
              <w:t>891,436</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578,062</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466"/>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121,540,094</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126,222,366</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122,456,565</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126,219,115</w:t>
            </w:r>
          </w:p>
        </w:tc>
      </w:tr>
      <w:tr>
        <w:trPr>
          <w:trHeight w:val="446"/>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1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0.37</w:t>
            </w:r>
          </w:p>
        </w:tc>
      </w:tr>
      <w:tr>
        <w:trPr>
          <w:trHeight w:val="27"/>
        </w:trPr>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-3110865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-2767965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-1936750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-1593850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-1250950</wp:posOffset>
            </wp:positionV>
            <wp:extent cx="71323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-3599815</wp:posOffset>
            </wp:positionV>
            <wp:extent cx="21259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25980" cy="825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-3445510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-2425065</wp:posOffset>
            </wp:positionV>
            <wp:extent cx="7132320"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-642620</wp:posOffset>
            </wp:positionV>
            <wp:extent cx="7132320"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-33655</wp:posOffset>
            </wp:positionV>
            <wp:extent cx="10198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9810"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-8255</wp:posOffset>
            </wp:positionV>
            <wp:extent cx="10198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520" w:space="280"/>
            <w:col w:w="6440"/>
          </w:cols>
          <w:pgMar w:left="320" w:top="126"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as of June 30, 2023 and 2022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20" w:type="dxa"/>
            <w:vAlign w:val="bottom"/>
          </w:tcPr>
          <w:p>
            <w:pPr>
              <w:spacing w:after="0"/>
              <w:rPr>
                <w:sz w:val="20"/>
                <w:szCs w:val="20"/>
                <w:color w:val="auto"/>
              </w:rPr>
            </w:pPr>
          </w:p>
        </w:tc>
        <w:tc>
          <w:tcPr>
            <w:tcW w:w="33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33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20" w:type="dxa"/>
            <w:vAlign w:val="bottom"/>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3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unexercised stock options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185,908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150,336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185,908</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640" w:type="dxa"/>
            <w:vAlign w:val="bottom"/>
          </w:tcPr>
          <w:p>
            <w:pPr>
              <w:jc w:val="right"/>
              <w:spacing w:after="0"/>
              <w:rPr>
                <w:sz w:val="20"/>
                <w:szCs w:val="20"/>
                <w:color w:val="auto"/>
              </w:rPr>
            </w:pPr>
            <w:r>
              <w:rPr>
                <w:rFonts w:ascii="Arial" w:cs="Arial" w:eastAsia="Arial" w:hAnsi="Arial"/>
                <w:sz w:val="18"/>
                <w:szCs w:val="18"/>
                <w:color w:val="auto"/>
              </w:rPr>
              <w:t>303,322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543,359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303,322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543,359</w:t>
            </w: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143,250</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234,077</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159,965</w:t>
            </w:r>
          </w:p>
        </w:tc>
        <w:tc>
          <w:tcPr>
            <w:tcW w:w="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234,077</w:t>
            </w: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596,908</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963,344</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613,623</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963,344</w:t>
            </w:r>
          </w:p>
        </w:tc>
      </w:tr>
      <w:tr>
        <w:trPr>
          <w:trHeight w:val="20"/>
        </w:trPr>
        <w:tc>
          <w:tcPr>
            <w:tcW w:w="44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22"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ind w:left="1140" w:hanging="484"/>
        <w:spacing w:after="0" w:line="263"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Certain assets are measured at fair value on a nonrecurring basis. These assets, including property and equipment and operating lease right-of-use asset, are subject to fair value adjustments whenever events or circumstances indicate the carrying value of the assets may not be recoverable and are subsequently written down to fair value when impaired. During the three and six months ended June 30, 2023 and 2022, the Company had no impairment charges related to its property and equipment or operating lease right-of-use asset.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were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2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w w:val="99"/>
              </w:rPr>
              <w:t>Fair value measurement as of June 30, 2023</w:t>
            </w:r>
          </w:p>
        </w:tc>
        <w:tc>
          <w:tcPr>
            <w:tcW w:w="0" w:type="dxa"/>
            <w:vAlign w:val="bottom"/>
          </w:tcPr>
          <w:p>
            <w:pPr>
              <w:spacing w:after="0"/>
              <w:rPr>
                <w:sz w:val="1"/>
                <w:szCs w:val="1"/>
                <w:color w:val="auto"/>
              </w:rPr>
            </w:pPr>
          </w:p>
        </w:tc>
      </w:tr>
      <w:tr>
        <w:trPr>
          <w:trHeight w:val="225"/>
        </w:trPr>
        <w:tc>
          <w:tcPr>
            <w:tcW w:w="3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jc w:val="center"/>
              <w:ind w:left="1311"/>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7,156</w:t>
            </w:r>
          </w:p>
        </w:tc>
        <w:tc>
          <w:tcPr>
            <w:tcW w:w="20" w:type="dxa"/>
            <w:vAlign w:val="bottom"/>
          </w:tcPr>
          <w:p>
            <w:pPr>
              <w:spacing w:after="0"/>
              <w:rPr>
                <w:sz w:val="19"/>
                <w:szCs w:val="19"/>
                <w:color w:val="auto"/>
              </w:rPr>
            </w:pPr>
          </w:p>
        </w:tc>
        <w:tc>
          <w:tcPr>
            <w:tcW w:w="700" w:type="dxa"/>
            <w:vAlign w:val="bottom"/>
            <w:gridSpan w:val="3"/>
          </w:tcPr>
          <w:p>
            <w:pPr>
              <w:jc w:val="center"/>
              <w:ind w:right="2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176,443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176,443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4"/>
                <w:szCs w:val="24"/>
                <w:color w:val="auto"/>
              </w:rPr>
            </w:pPr>
          </w:p>
        </w:tc>
        <w:tc>
          <w:tcPr>
            <w:tcW w:w="5720" w:type="dxa"/>
            <w:vAlign w:val="bottom"/>
            <w:gridSpan w:val="12"/>
          </w:tcPr>
          <w:p>
            <w:pPr>
              <w:jc w:val="center"/>
              <w:ind w:right="160"/>
              <w:spacing w:after="0"/>
              <w:rPr>
                <w:sz w:val="20"/>
                <w:szCs w:val="20"/>
                <w:color w:val="auto"/>
              </w:rPr>
            </w:pPr>
            <w:r>
              <w:rPr>
                <w:rFonts w:ascii="Arial" w:cs="Arial" w:eastAsia="Arial" w:hAnsi="Arial"/>
                <w:sz w:val="18"/>
                <w:szCs w:val="18"/>
                <w:b w:val="1"/>
                <w:bCs w:val="1"/>
                <w:color w:val="auto"/>
                <w:w w:val="99"/>
              </w:rPr>
              <w:t>Fair value measurement as of December 31, 2022</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vMerge w:val="continue"/>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2"/>
          </w:tcPr>
          <w:p>
            <w:pPr>
              <w:jc w:val="center"/>
              <w:ind w:right="620"/>
              <w:spacing w:after="0"/>
              <w:rPr>
                <w:sz w:val="20"/>
                <w:szCs w:val="20"/>
                <w:color w:val="auto"/>
              </w:rPr>
            </w:pPr>
            <w:r>
              <w:rPr>
                <w:rFonts w:ascii="Arial" w:cs="Arial" w:eastAsia="Arial" w:hAnsi="Arial"/>
                <w:sz w:val="18"/>
                <w:szCs w:val="18"/>
                <w:b w:val="1"/>
                <w:bCs w:val="1"/>
                <w:color w:val="auto"/>
                <w:w w:val="98"/>
              </w:rPr>
              <w:t>Level 2</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jc w:val="center"/>
              <w:ind w:left="1351"/>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35,915</w:t>
            </w:r>
          </w:p>
        </w:tc>
        <w:tc>
          <w:tcPr>
            <w:tcW w:w="20" w:type="dxa"/>
            <w:vAlign w:val="bottom"/>
          </w:tcPr>
          <w:p>
            <w:pPr>
              <w:spacing w:after="0"/>
              <w:rPr>
                <w:sz w:val="19"/>
                <w:szCs w:val="19"/>
                <w:color w:val="auto"/>
              </w:rPr>
            </w:pPr>
          </w:p>
        </w:tc>
        <w:tc>
          <w:tcPr>
            <w:tcW w:w="700" w:type="dxa"/>
            <w:vAlign w:val="bottom"/>
            <w:gridSpan w:val="3"/>
          </w:tcPr>
          <w:p>
            <w:pPr>
              <w:jc w:val="center"/>
              <w:ind w:right="3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ind w:right="1451"/>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amounts reported in the unaudited Condensed Consolidated Balance Sheets as current assets or current liabilities, including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cash</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receivable, net</w:t>
      </w:r>
      <w:r>
        <w:rPr>
          <w:rFonts w:ascii="Arial" w:cs="Arial" w:eastAsia="Arial" w:hAnsi="Arial"/>
          <w:sz w:val="18"/>
          <w:szCs w:val="18"/>
          <w:color w:val="auto"/>
        </w:rPr>
        <w:t>,</w:t>
      </w:r>
      <w:r>
        <w:rPr>
          <w:rFonts w:ascii="Arial" w:cs="Arial" w:eastAsia="Arial" w:hAnsi="Arial"/>
          <w:sz w:val="18"/>
          <w:szCs w:val="18"/>
          <w:i w:val="1"/>
          <w:iCs w:val="1"/>
          <w:color w:val="auto"/>
        </w:rPr>
        <w:t xml:space="preserve"> Current contract assets, net</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assets</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expenses</w:t>
      </w:r>
      <w:r>
        <w:rPr>
          <w:rFonts w:ascii="Arial" w:cs="Arial" w:eastAsia="Arial" w:hAnsi="Arial"/>
          <w:sz w:val="18"/>
          <w:szCs w:val="18"/>
          <w:color w:val="auto"/>
        </w:rPr>
        <w: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 due to the short-term maturities of the instruments.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Carried at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financial assets that are not measured at fair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3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r>
      <w:tr>
        <w:trPr>
          <w:trHeight w:val="25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145,734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 of the Company’s debt approximates its fair value due to its variable interest rate. The fair value was determined using the Adjusted SOFR as of June 30, 2023 and December 31, 2022 plus an applicable spread, a Level 2 classification in the fair value hierarchy.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June 30, 2023 and December 31,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5"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LPP by automotive lenders;</w:t>
      </w:r>
    </w:p>
    <w:p>
      <w:pPr>
        <w:spacing w:after="0" w:line="117"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5"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associated with our growth as a result of demands on our operational, marketing, compliance and accounting infrastructure;</w:t>
      </w:r>
    </w:p>
    <w:p>
      <w:pPr>
        <w:spacing w:after="0" w:line="65"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agreements between us and state agencies regarding issues including automotive lender conduct and oversight and loan pricing;</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line="27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$20.2 billion in automotive loans, accumulated more than 20 years of proprietary data and developed over two million unique risk profiles. We currently serve 446 active lenders.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flagship product, LPP, is a cloud-based automotive lending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 data analytics of automotive lender’s portfolio under the program. Through electronic system integration, our software technology connects us to parties in our ecosystem.</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the automotive industry is still seeking solutions to address the near-prime and non-prime borrower market. The near-prime and non-prime automotive loan origination market is a large, underserved sector, estimated at $270 billion annually. We currently serve approximately 2% of this market, providing a significant growth opportunity. In addition, our market opportunity related to the refinancing of near-prime and non-prime automotive loans is estimated at $40 billion annually.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facilitated 34,354 and 66,762 certified loans during the three and six months ended June 30, 2023, as compared to 44,531 and 88,475 certified loans during the three and six months ended June 30, 2022.</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revenue was $ 38.2 million and $76.5 million for the three and six months ended June 30, 2023, as compared to $52.0 million and $102.1 million during the three and six months ended June 30, 2022.</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Operating income was $ 15.7 million and $32.8 million for the three and six months ended June 30, 2023, as compared to $32.8 million and $65.1 million in the three and six months ended June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income was $11.4 million and $ 23.9 million for the three and six months ended June 30, 2023, as compared to net income of $23.1 million and $46.3 million for the three and six months ended June 30, 2022.</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Adjusted EBITDA was $ 20.7 million and $42.0 million for the three and six months ended June 30, 2023, as compared to $34.0 million and $67.8 million during the three and six months ended June 30, 2022.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table below summarizes the dollar value of insured loans facilitated and the number of new contracts we signed with automotive lenders for the three and six months ended June 30, 2023 and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6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88,475</w:t>
            </w:r>
          </w:p>
        </w:tc>
      </w:tr>
      <w:tr>
        <w:trPr>
          <w:trHeight w:val="236"/>
        </w:trPr>
        <w:tc>
          <w:tcPr>
            <w:tcW w:w="442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1,014,727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1,293,525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1,966,665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2,475,898</w:t>
            </w:r>
          </w:p>
        </w:tc>
      </w:tr>
      <w:tr>
        <w:trPr>
          <w:trHeight w:val="23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27,984</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“active lenders” as lenders who certify at least one loan during the preceding 12 months. As of June 30, 2023 and 2022, we had 446 and 414 active lenders, respectively. The table below represents lender count information for lenders with certified loan activity during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2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2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3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Lenders certifying loans at beginning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5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New lenders </w:t>
            </w:r>
            <w:r>
              <w:rPr>
                <w:rFonts w:ascii="Arial" w:cs="Arial" w:eastAsia="Arial" w:hAnsi="Arial"/>
                <w:sz w:val="23"/>
                <w:szCs w:val="23"/>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42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change in lenders </w:t>
            </w:r>
            <w:r>
              <w:rPr>
                <w:rFonts w:ascii="Arial" w:cs="Arial" w:eastAsia="Arial" w:hAnsi="Arial"/>
                <w:sz w:val="23"/>
                <w:szCs w:val="23"/>
                <w:color w:val="auto"/>
                <w:vertAlign w:val="superscript"/>
              </w:rPr>
              <w:t>(2)</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end of period</w:t>
            </w:r>
          </w:p>
        </w:tc>
        <w:tc>
          <w:tcPr>
            <w:tcW w:w="5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371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4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New lenders using LPP to certify loans for the first time during the period.</w:t>
      </w:r>
    </w:p>
    <w:p>
      <w:pPr>
        <w:spacing w:after="0" w:line="22" w:lineRule="exact"/>
        <w:rPr>
          <w:rFonts w:ascii="Arial" w:cs="Arial" w:eastAsia="Arial" w:hAnsi="Arial"/>
          <w:sz w:val="16"/>
          <w:szCs w:val="16"/>
          <w:color w:val="auto"/>
        </w:rPr>
      </w:pPr>
    </w:p>
    <w:p>
      <w:pPr>
        <w:ind w:right="640" w:firstLine="8"/>
        <w:spacing w:after="0" w:line="27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change in the number of lenders previously onboarded who use LPP to certify loans during the period. Certain lenders experience periods of inactivity followed by periods of activity, causing the lender count to fluctuate from period to period.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similar companies, with recurring revenue streams.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define “average program fee” as the total program fee revenue recognized for a period divided by the number of certified loans in that period.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certified loans.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“earned premium” as the total insurance premium earned by insurers in a given period. Earned premiums were $81.7 million and $163.5 million, respectively, for the three and six months ended June 30, 2023 and $70.9 million and $138.1 million, respectively, for the three and six months ended June 30,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growth trend in active automotive lenders using LPP is a critical factor directly affecting revenue and financial results as it influences the number of loans funded on LPP. Growth in our active automotive lender relationships will depend on our ability to retain existing automotive lenders and add new ones.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for more information on these assumptions.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may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Specific economic factors such as inflation, rising interest rate levels, changes in monetary and related policies, market volatility, supply chain disruptions, consumer confidence and, particularly, the unemployment rate also influence consumer spending and borrowing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two largest insurance carrier partners accounted for 34% and 10% of our total revenue during the three months ended June 30, 2023, and 34% and 11% during the six months ended June 30, 2023, respectively. Our three largest insurance carrier partners accounted for 38%, 11% and 11% of our total revenue during the three months ended June 30, 2022 and 38%, 13% and 10% during the six months ended June 30, 2022, respectively. Termination or disruption of these relationships could materially and adversely impact our revenue. See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Factors—Risks 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revenue is generated through three streams: (i) profit share paid to us by insurance partners, (ii) program fees paid to us by automotive lenders and (iii) claims administration service fees paid to us by insurance partners.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with credit 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to future profit share calculations.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the use of LPP, which provides loan analytics solutions and automated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credit default insurance with third-party insurance providers. These fees are based on a percentage of each certified loan’s original principal balance and are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typically capped at $600 per loan or calculated as a percentage of the funded loan amount. For monthly-pay loans, the fee paid by the lender is typically 3% of the initial amount of the loan and is not capped.</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insurance carrier partners for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insurance claims adjudication services performed by our subsidiary Insurance Administrative Services, LLC on its insured servicing portfolio. The administration fee is equal to 3% of the monthly insurance earned premium for as long as the LPP certified loan remains outstanding.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lead-generation efforts,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and fees paid to credit bureaus and data service providers for credit applicant data. In the near term, we generally expect cost of services to remain constant as a percentage of our program fee revenue.</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are comprised primarily of expenses relating to corporate-level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and benefits, non-cash share-based compensation, travel, meals and entertainment expenses, data and software expenses and professional and consulting fees. In the near term, we expect general and administrative expenses to remain constant.</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and marketing activities. We generally expect selling and marketing expenses to increase as a percentage of our program fee revenue in the near term as we focus on our go-to-market strategy.</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employee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employees engaged in ongoing research and development of our software technology platform. We generally expect our research and development expenses to increase in the near term as we continue to invest in new and existing products and services.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our debt.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primarily includes interest earned on money market funds and U.S. Treasury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and six months ended June 30, 2023 and 2022:</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3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6"/>
          </w:tcPr>
          <w:p>
            <w:pPr>
              <w:jc w:val="right"/>
              <w:ind w:right="5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6"/>
          </w:tcPr>
          <w:p>
            <w:pPr>
              <w:jc w:val="right"/>
              <w:ind w:right="390"/>
              <w:spacing w:after="0"/>
              <w:rPr>
                <w:sz w:val="20"/>
                <w:szCs w:val="20"/>
                <w:color w:val="auto"/>
              </w:rPr>
            </w:pPr>
            <w:r>
              <w:rPr>
                <w:rFonts w:ascii="Arial" w:cs="Arial" w:eastAsia="Arial" w:hAnsi="Arial"/>
                <w:sz w:val="18"/>
                <w:szCs w:val="18"/>
                <w:b w:val="1"/>
                <w:bCs w:val="1"/>
                <w:color w:val="auto"/>
              </w:rPr>
              <w:t>Six Months Ended June 30, 2023</w:t>
            </w:r>
          </w:p>
        </w:tc>
        <w:tc>
          <w:tcPr>
            <w:tcW w:w="0" w:type="dxa"/>
            <w:vAlign w:val="bottom"/>
          </w:tcPr>
          <w:p>
            <w:pPr>
              <w:spacing w:after="0"/>
              <w:rPr>
                <w:sz w:val="1"/>
                <w:szCs w:val="1"/>
                <w:color w:val="auto"/>
              </w:rPr>
            </w:pPr>
          </w:p>
        </w:tc>
      </w:tr>
      <w:tr>
        <w:trPr>
          <w:trHeight w:val="263"/>
        </w:trPr>
        <w:tc>
          <w:tcPr>
            <w:tcW w:w="3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4"/>
          </w:tcPr>
          <w:p>
            <w:pPr>
              <w:jc w:val="right"/>
              <w:ind w:right="430"/>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Profit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17,809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29,157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36,411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57,467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Program fees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520" w:type="dxa"/>
            <w:vAlign w:val="bottom"/>
          </w:tcPr>
          <w:p>
            <w:pPr>
              <w:ind w:left="340"/>
              <w:spacing w:after="0"/>
              <w:rPr>
                <w:sz w:val="20"/>
                <w:szCs w:val="20"/>
                <w:color w:val="auto"/>
              </w:rPr>
            </w:pPr>
            <w:r>
              <w:rPr>
                <w:rFonts w:ascii="Arial" w:cs="Arial" w:eastAsia="Arial" w:hAnsi="Arial"/>
                <w:sz w:val="18"/>
                <w:szCs w:val="18"/>
                <w:color w:val="auto"/>
              </w:rPr>
              <w:t>Claims administration and other service</w:t>
            </w: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2,156</w:t>
            </w:r>
          </w:p>
        </w:tc>
        <w:tc>
          <w:tcPr>
            <w:tcW w:w="120" w:type="dxa"/>
            <w:vAlign w:val="bottom"/>
            <w:vMerge w:val="restart"/>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4,188</w:t>
            </w:r>
          </w:p>
        </w:tc>
        <w:tc>
          <w:tcPr>
            <w:tcW w:w="100" w:type="dxa"/>
            <w:vAlign w:val="bottom"/>
            <w:vMerge w:val="restart"/>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6"/>
        </w:trPr>
        <w:tc>
          <w:tcPr>
            <w:tcW w:w="3520" w:type="dxa"/>
            <w:vAlign w:val="bottom"/>
          </w:tcPr>
          <w:p>
            <w:pPr>
              <w:ind w:left="340"/>
              <w:spacing w:after="0"/>
              <w:rPr>
                <w:sz w:val="20"/>
                <w:szCs w:val="20"/>
                <w:color w:val="auto"/>
              </w:rPr>
            </w:pPr>
            <w:r>
              <w:rPr>
                <w:rFonts w:ascii="Arial" w:cs="Arial" w:eastAsia="Arial" w:hAnsi="Arial"/>
                <w:sz w:val="18"/>
                <w:szCs w:val="18"/>
                <w:color w:val="auto"/>
              </w:rPr>
              <w:t>fees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52,044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69"/>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w:t>
            </w:r>
          </w:p>
        </w:tc>
        <w:tc>
          <w:tcPr>
            <w:tcW w:w="10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46,959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6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352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16,317</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14,150</w:t>
            </w:r>
          </w:p>
        </w:tc>
        <w:tc>
          <w:tcPr>
            <w:tcW w:w="12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32,151</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27,188</w:t>
            </w:r>
          </w:p>
        </w:tc>
        <w:tc>
          <w:tcPr>
            <w:tcW w:w="10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18 %</w:t>
            </w: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32,809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65,051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11045 %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9509 %</w:t>
            </w:r>
          </w:p>
        </w:tc>
        <w:tc>
          <w:tcPr>
            <w:tcW w:w="0" w:type="dxa"/>
            <w:vAlign w:val="bottom"/>
          </w:tcPr>
          <w:p>
            <w:pPr>
              <w:spacing w:after="0"/>
              <w:rPr>
                <w:sz w:val="1"/>
                <w:szCs w:val="1"/>
                <w:color w:val="auto"/>
              </w:rPr>
            </w:pPr>
          </w:p>
        </w:tc>
      </w:tr>
      <w:tr>
        <w:trPr>
          <w:trHeight w:val="263"/>
        </w:trPr>
        <w:tc>
          <w:tcPr>
            <w:tcW w:w="352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63,171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69"/>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23,909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Key Performance Measures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12"/>
        </w:trPr>
        <w:tc>
          <w:tcPr>
            <w:tcW w:w="9820" w:type="dxa"/>
            <w:vAlign w:val="bottom"/>
            <w:gridSpan w:val="12"/>
          </w:tcPr>
          <w:p>
            <w:pPr>
              <w:spacing w:after="0"/>
              <w:rPr>
                <w:sz w:val="20"/>
                <w:szCs w:val="20"/>
                <w:color w:val="auto"/>
              </w:rPr>
            </w:pPr>
            <w:r>
              <w:rPr>
                <w:rFonts w:ascii="Arial" w:cs="Arial" w:eastAsia="Arial" w:hAnsi="Arial"/>
                <w:sz w:val="18"/>
                <w:szCs w:val="18"/>
                <w:color w:val="auto"/>
              </w:rPr>
              <w:t>The following table sets forth key performance measures for the three and six months ended June 30, 2023 and 2022:</w:t>
            </w:r>
          </w:p>
        </w:tc>
        <w:tc>
          <w:tcPr>
            <w:tcW w:w="1400" w:type="dxa"/>
            <w:vAlign w:val="bottom"/>
          </w:tcPr>
          <w:p>
            <w:pPr>
              <w:spacing w:after="0"/>
              <w:rPr>
                <w:sz w:val="24"/>
                <w:szCs w:val="24"/>
                <w:color w:val="auto"/>
              </w:rPr>
            </w:pPr>
          </w:p>
        </w:tc>
      </w:tr>
      <w:tr>
        <w:trPr>
          <w:trHeight w:val="385"/>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Six Months Ended June 30,</w:t>
            </w:r>
          </w:p>
        </w:tc>
      </w:tr>
      <w:tr>
        <w:trPr>
          <w:trHeight w:val="263"/>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44,531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66,762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88,475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0" w:type="dxa"/>
            <w:vAlign w:val="bottom"/>
          </w:tcPr>
          <w:p>
            <w:pPr>
              <w:spacing w:after="0"/>
              <w:rPr>
                <w:sz w:val="21"/>
                <w:szCs w:val="21"/>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29,770</w:t>
            </w: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39,526</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57,304</w:t>
            </w:r>
          </w:p>
        </w:tc>
        <w:tc>
          <w:tcPr>
            <w:tcW w:w="36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79,087</w:t>
            </w: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Monthly-pay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5,005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9,388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0" w:type="dxa"/>
            <w:vAlign w:val="bottom"/>
          </w:tcPr>
          <w:p>
            <w:pPr>
              <w:spacing w:after="0"/>
              <w:rPr>
                <w:sz w:val="21"/>
                <w:szCs w:val="21"/>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466</w:t>
            </w:r>
          </w:p>
        </w:tc>
        <w:tc>
          <w:tcPr>
            <w:tcW w:w="1400" w:type="dxa"/>
            <w:vAlign w:val="bottom"/>
          </w:tcPr>
          <w:p>
            <w:pPr>
              <w:jc w:val="right"/>
              <w:spacing w:after="0"/>
              <w:rPr>
                <w:sz w:val="20"/>
                <w:szCs w:val="20"/>
                <w:color w:val="auto"/>
              </w:rPr>
            </w:pPr>
            <w:r>
              <w:rPr>
                <w:rFonts w:ascii="Arial" w:cs="Arial" w:eastAsia="Arial" w:hAnsi="Arial"/>
                <w:sz w:val="18"/>
                <w:szCs w:val="18"/>
                <w:color w:val="auto"/>
              </w:rPr>
              <w:t>12 %</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457</w:t>
            </w:r>
          </w:p>
        </w:tc>
        <w:tc>
          <w:tcPr>
            <w:tcW w:w="14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40" w:type="dxa"/>
            <w:vAlign w:val="bottom"/>
          </w:tcPr>
          <w:p>
            <w:pPr>
              <w:spacing w:after="0"/>
              <w:rPr>
                <w:sz w:val="21"/>
                <w:szCs w:val="21"/>
                <w:color w:val="auto"/>
              </w:rPr>
            </w:pPr>
          </w:p>
        </w:tc>
        <w:tc>
          <w:tcPr>
            <w:tcW w:w="2700" w:type="dxa"/>
            <w:vAlign w:val="bottom"/>
          </w:tcPr>
          <w:p>
            <w:pPr>
              <w:ind w:left="340"/>
              <w:spacing w:after="0"/>
              <w:rPr>
                <w:sz w:val="20"/>
                <w:szCs w:val="20"/>
                <w:color w:val="auto"/>
              </w:rPr>
            </w:pPr>
            <w:r>
              <w:rPr>
                <w:rFonts w:ascii="Arial" w:cs="Arial" w:eastAsia="Arial" w:hAnsi="Arial"/>
                <w:sz w:val="18"/>
                <w:szCs w:val="18"/>
                <w:color w:val="auto"/>
              </w:rPr>
              <w:t>Monthly-pay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768</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743</w:t>
            </w: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2023 and 2022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312"/>
        </w:trPr>
        <w:tc>
          <w:tcPr>
            <w:tcW w:w="436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1"/>
        </w:trPr>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r>
      <w:tr>
        <w:trPr>
          <w:trHeight w:val="258"/>
        </w:trPr>
        <w:tc>
          <w:tcPr>
            <w:tcW w:w="4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43"/>
        </w:trPr>
        <w:tc>
          <w:tcPr>
            <w:tcW w:w="4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70"/>
        </w:trPr>
        <w:tc>
          <w:tcPr>
            <w:tcW w:w="4360" w:type="dxa"/>
            <w:vAlign w:val="bottom"/>
          </w:tcPr>
          <w:p>
            <w:pPr>
              <w:ind w:left="360"/>
              <w:spacing w:after="0"/>
              <w:rPr>
                <w:sz w:val="20"/>
                <w:szCs w:val="20"/>
                <w:color w:val="auto"/>
              </w:rPr>
            </w:pPr>
            <w:r>
              <w:rPr>
                <w:rFonts w:ascii="Arial" w:cs="Arial" w:eastAsia="Arial" w:hAnsi="Arial"/>
                <w:sz w:val="18"/>
                <w:szCs w:val="18"/>
                <w:color w:val="auto"/>
              </w:rPr>
              <w:t>New certified loan originations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18,983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26,333</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36,871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52,002</w:t>
            </w: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revenues</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r>
      <w:tr>
        <w:trPr>
          <w:trHeight w:val="256"/>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17,809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29,157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36,411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57,467</w:t>
            </w:r>
          </w:p>
        </w:tc>
      </w:tr>
      <w:tr>
        <w:trPr>
          <w:trHeight w:val="278"/>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Program fees</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17,893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20,731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35,194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40,457</w:t>
            </w:r>
          </w:p>
        </w:tc>
      </w:tr>
      <w:tr>
        <w:trPr>
          <w:trHeight w:val="278"/>
        </w:trPr>
        <w:tc>
          <w:tcPr>
            <w:tcW w:w="4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4,188</w:t>
            </w:r>
          </w:p>
        </w:tc>
      </w:tr>
      <w:tr>
        <w:trPr>
          <w:trHeight w:val="29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38,154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52,044</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76,515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102,112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decreased by $13.9 million, or 27%, during the three months ended June 30, 2023, as compared to the same period in 2022, driven by a $11.3 million decrease in profit share revenue and a $ 2.8 million decrease in program fees, which was partially offset by increased claims administration and other service fee revenues of $0.3 million, as compared to the three months ended June 30,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decreased by $25.6 million, or 25%, during the six months ended June 30, 2023, as compared to the same period in 2022, driven by a $21.1 million decrease in profit share revenue and a $ 5.3 million decrease in program fees, which was partially offset by increased claims administration and other service fee revenues of $0.7 million, as compared to the six months ended June 30, 2022.</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Profit share revenue decreased by $11.3 million, or 39%, during the three months ended June 30, 2023, as compared to the same period in 2022. During the three months ended June 30, 2023, we recorded $19.0 million in anticipated profit share associated with 34,354 new certified loans for an average of $553 per loan as compared to $26.3 million in anticipated profit share associated with 44,531 certified loans for an average of $591 per loan during the three months ended June 30, 2022. In addition, during the three months ended June 30, 2023, we recorded a reduction of $1.2 million in profit share revenue related to business in historic vintages primarily due to higher than anticipated prepayments and loan defaults, partially offset by lower than anticipated severity of losses. During the three months ended June 30, 2022, we recorded an increase of $2.8 million in profit share revenue related to business in historic vintages primarily due to lower than anticipated loan defaults and severity of losses, partially offset by higher prepayment rates.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Profit share revenue decreased by $21.1 million, or 37%, during the six months ended June 30, 2023 as compared to the same period in 2022. During the six months ended June 30, 2023, we recorded $36.9 million in anticipated profit share associated with 66,762 new certified loans for an average of $ 552 per loan as compared to $52.0 million in anticipated profit share associated with 88,475 certified loans for an average of $588 per loan during the six months ended June 30, 2022. In addition, during the six months ended June 30, 2023, we recorded a reduction of $0.5 million in profit share revenue related to business in historic vintages primarily due to higher than anticipated prepayments and loan defaults, partially offset by lower than anticipated severity of losses. During the six months ended June 30, 2022, we recorded an increase of $5.5 million in profit share revenue related to business in historic vintages primarily due to lower than anticipated loan defaults and severity of losses, partially offset by higher prepayment rates.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revenue decreased by $2.8 million, or 14%, during the three months ended June 30, 2023 as compared to the same period in 2022 driven by a 23% decrease in certified loan volume, partially offset by a 12% increase in unit economics per certified loan, as compared to the prior year period.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revenue decreased by $5.3 million, or 13%, during the six months ended June 30, 2023 as compared to the same period in 2022 driven by a 25% decrease in certified loan volume, partially offset by a 15% increase in unit economics per certified loan, as compared to the prior year period.</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earned premium, increased by $0.3 million and $0.7 million, or 14% and 17%, respectively, during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three and six months ended June 30, 2023, as compared to the same periods in the prior year, due to increases in total earned premiums.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gridSpan w:val="2"/>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38,154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52,044</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76,515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102,112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32,037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46,959</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64,967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92,239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Cost of services increased $1.0 million, or 20%, during the three months ended June 30, 2023, as compared to the same period in 2022. Cost of services increased $ 1.7 million, or 17%, during the six months ended June 30, 2023, as compared to the same period in 2022. For both periods, the change is primarily due to higher employee compensation and benefit costs associated with the growth of our claims administration and product support operations.</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decreased by $14.9 million and $27.3 million, or 32% and 30%, respectively, during the three and six months ended June 30, 2023, as compared to the same periods in 2022, primarily driven by decreases in profit share and program fee revenues, as discussed above.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20" w:type="dxa"/>
            <w:vAlign w:val="bottom"/>
            <w:gridSpan w:val="4"/>
          </w:tcPr>
          <w:p>
            <w:pPr>
              <w:jc w:val="right"/>
              <w:ind w:right="670"/>
              <w:spacing w:after="0"/>
              <w:rPr>
                <w:sz w:val="20"/>
                <w:szCs w:val="20"/>
                <w:color w:val="auto"/>
              </w:rPr>
            </w:pPr>
            <w:r>
              <w:rPr>
                <w:rFonts w:ascii="Arial" w:cs="Arial" w:eastAsia="Arial" w:hAnsi="Arial"/>
                <w:sz w:val="18"/>
                <w:szCs w:val="18"/>
                <w:i w:val="1"/>
                <w:iCs w:val="1"/>
                <w:color w:val="auto"/>
                <w:w w:val="99"/>
              </w:rPr>
              <w:t>Operating Expenses, Operating Income and Operating Margin</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32,037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46,959</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64,967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92,239</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40" w:type="dxa"/>
            <w:vAlign w:val="bottom"/>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16,317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14,150</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32,151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27,188</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15,720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32,809</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32,816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65,051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394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38,154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52,044</w:t>
            </w:r>
          </w:p>
        </w:tc>
        <w:tc>
          <w:tcPr>
            <w:tcW w:w="6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76,515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102,112</w:t>
            </w:r>
          </w:p>
        </w:tc>
        <w:tc>
          <w:tcPr>
            <w:tcW w:w="0" w:type="dxa"/>
            <w:vAlign w:val="bottom"/>
          </w:tcPr>
          <w:p>
            <w:pPr>
              <w:spacing w:after="0"/>
              <w:rPr>
                <w:sz w:val="1"/>
                <w:szCs w:val="1"/>
                <w:color w:val="auto"/>
              </w:rPr>
            </w:pPr>
          </w:p>
        </w:tc>
      </w:tr>
      <w:tr>
        <w:trPr>
          <w:trHeight w:val="278"/>
        </w:trPr>
        <w:tc>
          <w:tcPr>
            <w:tcW w:w="80" w:type="dxa"/>
            <w:vAlign w:val="bottom"/>
          </w:tcPr>
          <w:p>
            <w:pPr>
              <w:spacing w:after="0"/>
              <w:rPr>
                <w:sz w:val="24"/>
                <w:szCs w:val="24"/>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64 %</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expenses increased by $3.0 million, or 38%, during the three months ended June 30, 2023 as compared to the same period in 2022 primarily driven by higher employee compensation and benefit costs due to the expansion of our corporate administration team in 2022. General and administrative expenses increased by $5.7 million, or 37%, respectively, during the six months ended June 30, 2023, as compared to the same period last year primarily driven by higher employee compensation and benefit costs of $3.0 million, increased professional fees of $1.1 million and increased business taxes of $0.8 million.</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Selling and marketing expenses slightly increased by $0.2 million, or 6%, during the three months ended June 30, 2023 as compared to the same period in 2022. Selling and marketing expenses increased by $0.9 million, or 12%, during the six months ended June 30, 2023 as compared to the same period in 2022 primarily driven by increased marketing expenses of $0.9 million including earned media relations, integrated communications and branding costs.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Research and development expenses decreased by $1.1 million, or 48%, during the three months ended June 30, 2023, as compared to the same period in in 2022. Research and development expenses decreased by $1.7 million, or 41%, during the six months ended June 30, 2023, as compared to the same period in 2022. For both periods, the change was primarily due to decreased employee compensation and benefits in line with our shift in focus to product support and the development of internal use software.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the three and six months ended June 30, 2023 decreased by $17.1 million and $32.2 million, or 52% and 50%, respectively, as compared to the prior year periods, primarily driven by decreases in total revenues as well as increases in general and administrative expenses, as discussed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increased $1.5 million, or 136%, for the three months ended June 30, 2023, as compared to the same period in 2022. Interest expense increased $3.1 million, or 162%, for the six months ended June 30, 2023, as compared to the same period in 2022. For both periods, interest expense increased as a result of higher borrowing costs during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and six months ended June 30, 2023, interest income increased $2.4 million and $4.5 million, respectively, compared to the same periods in 2022 primarily due to interest earned on U.S. Treasury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and 2022, we recognized income tax expense of $4.1 million and $8.6 million, respectively, with effective tax rates of 26.7% and 27.1%, respectively. During the six months ended June 30, 2023 and 2022, we recognized income tax expense of $8.4 million and $16.9 million, respectively, with effective tax rates of 25.9% and 26.7%, respectively.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Income tax expense decreased $4.4 million and $8.5 million, or 52% and 50%, respectively, during the three and six months ended June 30, 2023 as compared to the three and six months ended June 30, 2022, primarily as a result of the decrease in income before 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0000FF"/>
        </w:rPr>
        <w:t xml:space="preserve"> </w:t>
      </w:r>
      <w:r>
        <w:rPr>
          <w:rFonts w:ascii="Arial" w:cs="Arial" w:eastAsia="Arial" w:hAnsi="Arial"/>
          <w:sz w:val="18"/>
          <w:szCs w:val="18"/>
          <w:color w:val="000000"/>
        </w:rPr>
        <w:t>in this Quarterly Report and our Annual Report for a full description of the related estimates,</w:t>
      </w:r>
      <w:r>
        <w:rPr>
          <w:rFonts w:ascii="Arial" w:cs="Arial" w:eastAsia="Arial" w:hAnsi="Arial"/>
          <w:sz w:val="18"/>
          <w:szCs w:val="18"/>
          <w:color w:val="0000FF"/>
        </w:rPr>
        <w:t xml:space="preserve"> </w:t>
      </w:r>
      <w:r>
        <w:rPr>
          <w:rFonts w:ascii="Arial" w:cs="Arial" w:eastAsia="Arial" w:hAnsi="Arial"/>
          <w:sz w:val="18"/>
          <w:szCs w:val="18"/>
          <w:color w:val="000000"/>
        </w:rPr>
        <w:t>assumptions and judgments.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51"/>
        </w:trPr>
        <w:tc>
          <w:tcPr>
            <w:tcW w:w="7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Six Months Ended June 30,</w:t>
            </w:r>
          </w:p>
        </w:tc>
      </w:tr>
      <w:tr>
        <w:trPr>
          <w:trHeight w:val="257"/>
        </w:trPr>
        <w:tc>
          <w:tcPr>
            <w:tcW w:w="7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r>
      <w:tr>
        <w:trPr>
          <w:trHeight w:val="233"/>
        </w:trPr>
        <w:tc>
          <w:tcPr>
            <w:tcW w:w="7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60" w:type="dxa"/>
            <w:vAlign w:val="bottom"/>
            <w:gridSpan w:val="2"/>
          </w:tcPr>
          <w:p>
            <w:pPr>
              <w:jc w:val="right"/>
              <w:ind w:right="70"/>
              <w:spacing w:after="0"/>
              <w:rPr>
                <w:sz w:val="20"/>
                <w:szCs w:val="20"/>
                <w:color w:val="auto"/>
              </w:rPr>
            </w:pPr>
            <w:r>
              <w:rPr>
                <w:rFonts w:ascii="Arial" w:cs="Arial" w:eastAsia="Arial" w:hAnsi="Arial"/>
                <w:sz w:val="16"/>
                <w:szCs w:val="16"/>
                <w:i w:val="1"/>
                <w:iCs w:val="1"/>
                <w:color w:val="auto"/>
              </w:rPr>
              <w:t>(in thousands)</w:t>
            </w:r>
          </w:p>
        </w:tc>
        <w:tc>
          <w:tcPr>
            <w:tcW w:w="1360" w:type="dxa"/>
            <w:vAlign w:val="bottom"/>
          </w:tcPr>
          <w:p>
            <w:pPr>
              <w:spacing w:after="0"/>
              <w:rPr>
                <w:sz w:val="20"/>
                <w:szCs w:val="20"/>
                <w:color w:val="auto"/>
              </w:rPr>
            </w:pPr>
          </w:p>
        </w:tc>
      </w:tr>
      <w:tr>
        <w:trPr>
          <w:trHeight w:val="26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45,579</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53,587</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(843)</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(23,473)</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7"/>
        </w:trPr>
        <w:tc>
          <w:tcPr>
            <w:tcW w:w="7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cash flows provided by operating activities reflect net income adjusted for certain non-cash items and changes in operating assets and liabilities.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unaudited Condensed Statement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57"/>
        </w:trPr>
        <w:tc>
          <w:tcPr>
            <w:tcW w:w="71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2"/>
                <w:szCs w:val="22"/>
                <w:color w:val="auto"/>
              </w:rPr>
            </w:pPr>
          </w:p>
        </w:tc>
      </w:tr>
      <w:tr>
        <w:trPr>
          <w:trHeight w:val="213"/>
        </w:trPr>
        <w:tc>
          <w:tcPr>
            <w:tcW w:w="7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00" w:type="dxa"/>
            <w:vAlign w:val="bottom"/>
            <w:gridSpan w:val="3"/>
          </w:tcPr>
          <w:p>
            <w:pPr>
              <w:jc w:val="right"/>
              <w:ind w:right="730"/>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spacing w:after="0"/>
              <w:rPr>
                <w:sz w:val="18"/>
                <w:szCs w:val="18"/>
                <w:color w:val="auto"/>
              </w:rPr>
            </w:pPr>
          </w:p>
        </w:tc>
      </w:tr>
      <w:tr>
        <w:trPr>
          <w:trHeight w:val="24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23,909</w:t>
            </w:r>
          </w:p>
        </w:tc>
        <w:tc>
          <w:tcPr>
            <w:tcW w:w="14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46,280</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Non-cash reconciling adjustments</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contract assets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r>
      <w:tr>
        <w:trPr>
          <w:trHeight w:val="24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other assets and liabilities</w:t>
            </w:r>
          </w:p>
        </w:tc>
        <w:tc>
          <w:tcPr>
            <w:tcW w:w="1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45,579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53,587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decreased by $8.0 million for the six months ended June 30, 2023 as compared to the six months ended June 30, 2022. The decrease was primarily attributable to decreased cash collections of $ 16.2 million related to reduced profit share, program fees and claims administration service fee revenues, a $6.5 million increase in cash payments related to cost of services and operating expenses and a $3.2 million increase in interest payments. This decrease in cash was offset by a $12.1 million reduction in income tax payments and a $4.5 million increase in interest income received during the six months ended June 30, 2023 as compared to the six months ended June 30, 2022.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six months ended June 30, 2023 and 2022, net cash used in investing activities was $0.8 million and $0.4 million, respectively. For the six months ended June 30, 2023 and 2022, the investments primarily related to computer software developed for internal use.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cash flows used in and provided by financing activities primarily consist of share repurchases, payments of debt and deferred financing costs.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six months ended June 30, 2023, net cash used in financing activities was $23.5 million and is primarily related to the repurchase of 3,095,334 shares of our common stock held in treasury stock for a total of $21.3 million, excluding excise tax.</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six months ended June 30, 2022, net cash used in financing activities was $1.6 million and is primarily related to a principal payment on our term loan due 2026.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we had no amounts outstanding under the Revolving Credit Facility and $147.2 million outstanding under our Term Loan due 2027.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November 17, 2022, the Board of Directors authorized a share repurchase program allowing the Company to repurchase up to $75.0 million of the Company’s outstanding common stock until November 17, 2023 (the “Share Repurchase Program”). Repurchases may be made at management’s discretion from time to time on the open market. The Share Repurchase Program may be suspended, amended, or discontinued at any time. Pursuant to the Share Repurchase Program, the Company made no repurchases during the three month period ended June 30, 2023, and repurchased 3,095,334 shares at an average price of $6.87 for a total of $21.3 million, excluding excise tax, during the six months ended June 30, 2023, leaving $35.7 million available under our Share Repurchase Program as of June 30, 2023. These shares were recorded to </w:t>
      </w:r>
      <w:r>
        <w:rPr>
          <w:rFonts w:ascii="Arial" w:cs="Arial" w:eastAsia="Arial" w:hAnsi="Arial"/>
          <w:sz w:val="18"/>
          <w:szCs w:val="18"/>
          <w:i w:val="1"/>
          <w:iCs w:val="1"/>
          <w:color w:val="auto"/>
        </w:rPr>
        <w:t>Treasury stock, at cost</w:t>
      </w:r>
      <w:r>
        <w:rPr>
          <w:rFonts w:ascii="Arial" w:cs="Arial" w:eastAsia="Arial" w:hAnsi="Arial"/>
          <w:sz w:val="18"/>
          <w:szCs w:val="18"/>
          <w:color w:val="auto"/>
        </w:rPr>
        <w:t xml:space="preserve"> in the unaudited Condensed Consolidated Balance Sheets, which includes $0.2 million of excise tax expected to be paid in April 2024. This excise tax payable is included within </w:t>
      </w:r>
      <w:r>
        <w:rPr>
          <w:rFonts w:ascii="Arial" w:cs="Arial" w:eastAsia="Arial" w:hAnsi="Arial"/>
          <w:sz w:val="18"/>
          <w:szCs w:val="18"/>
          <w:i w:val="1"/>
          <w:iCs w:val="1"/>
          <w:color w:val="auto"/>
        </w:rPr>
        <w:t>accrued expenses</w:t>
      </w:r>
      <w:r>
        <w:rPr>
          <w:rFonts w:ascii="Arial" w:cs="Arial" w:eastAsia="Arial" w:hAnsi="Arial"/>
          <w:sz w:val="18"/>
          <w:szCs w:val="18"/>
          <w:color w:val="auto"/>
        </w:rPr>
        <w:t xml:space="preserve"> in the unaudited Condensed Consolidated Balance Sheets.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of property and equipment and share-based compensation expense. Adjusted EBITDA margin is defined as Adjusted EBITDA expressed as a percentage of total revenue.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11,371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23,126</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23,909</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46,280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30"/>
        </w:trPr>
        <w:tc>
          <w:tcPr>
            <w:tcW w:w="40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16,891</w:t>
            </w:r>
          </w:p>
        </w:tc>
        <w:tc>
          <w:tcPr>
            <w:tcW w:w="0" w:type="dxa"/>
            <w:vAlign w:val="bottom"/>
          </w:tcPr>
          <w:p>
            <w:pPr>
              <w:spacing w:after="0"/>
              <w:rPr>
                <w:sz w:val="1"/>
                <w:szCs w:val="1"/>
                <w:color w:val="auto"/>
              </w:rPr>
            </w:pPr>
          </w:p>
        </w:tc>
      </w:tr>
      <w:tr>
        <w:trPr>
          <w:trHeight w:val="176"/>
        </w:trPr>
        <w:tc>
          <w:tcPr>
            <w:tcW w:w="40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Depreciation and amortization of property and</w:t>
            </w:r>
          </w:p>
        </w:tc>
        <w:tc>
          <w:tcPr>
            <w:tcW w:w="3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9,366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10,919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18,076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21,534</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20,737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34,045</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41,985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67,814</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52,044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76,515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102,112</w:t>
            </w:r>
          </w:p>
        </w:tc>
        <w:tc>
          <w:tcPr>
            <w:tcW w:w="0" w:type="dxa"/>
            <w:vAlign w:val="bottom"/>
          </w:tcPr>
          <w:p>
            <w:pPr>
              <w:spacing w:after="0"/>
              <w:rPr>
                <w:sz w:val="1"/>
                <w:szCs w:val="1"/>
                <w:color w:val="auto"/>
              </w:rPr>
            </w:pPr>
          </w:p>
        </w:tc>
      </w:tr>
      <w:tr>
        <w:trPr>
          <w:trHeight w:val="251"/>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65 %</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66 %</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2023, Adjusted EBITDA decreased by $13.3 million, or 39%, as compared to the three months ended June 30, 2022. Adjusted EBITDA margin for the three months ended June 30, 2023 decreased to 54% as compared to 65% during the same period in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2023, Adjusted EBITDA decreased by $25.8 million, or 38%, as compared to the six months ended June 30, 2022. Adjusted EBITDA margin for the six months ended June 30, 2023 decreased to 55% as compared to 66% during the same period in 2022.</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decrease in Adjusted EBITDA during the three and six months ended June 30, 2023 reflects our reduced revenue from lower certified loan value and increased cost of services and operating expenses during each period.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have not been any material changes during the three and six months ended June 30, 2023 to the methodology applied by management for critical accounting policies previously disclosed in our Annual Report. Please refer to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 and Estimates</w:t>
      </w:r>
      <w:r>
        <w:rPr>
          <w:rFonts w:ascii="Arial" w:cs="Arial" w:eastAsia="Arial" w:hAnsi="Arial"/>
          <w:sz w:val="18"/>
          <w:szCs w:val="18"/>
          <w:color w:val="auto"/>
        </w:rPr>
        <w:t>”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for further description of our critical accounting policies and estimates.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no material changes in our contractual commitments and obligations during the three and six months ended June 30, 2023 from the amounts listed under “</w:t>
      </w:r>
      <w:r>
        <w:rPr>
          <w:rFonts w:ascii="Arial" w:cs="Arial" w:eastAsia="Arial" w:hAnsi="Arial"/>
          <w:sz w:val="18"/>
          <w:szCs w:val="18"/>
          <w:i w:val="1"/>
          <w:iCs w:val="1"/>
          <w:color w:val="auto"/>
        </w:rPr>
        <w:t>Part II, Item 7. Management’s Discussion and Analysis of Financial Condition and Results of Operations—Contractual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Consumer spending and borrowing patterns related to auto purchases are influenced by economic factors such as unemployment rates, inflation, interest rate levels,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 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New Term Loan due 2027 also exposes us to changes in short-term interest rates since interest rates on the underlying obligations are variable.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2023, we had outstanding amounts of $147.2 million under the Term Loan due 2027, which is scheduled to mature on September 9, 2027. There were no amounts outstanding under the Revolving Credit Facility as of June 30, 2023.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0.150% to 0.225% per annum on the average daily unused portion of the Revolving Credit Facility, which is paid quarterly in arrears and is based on our total net leverage ratio.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and other cautionary statements described under Part I, Item 1A. “Risk Factors” in our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sets forth information with respect to our repurchases of shares of common stock during the three months ended June 30,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Total 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jc w:val="center"/>
              <w:ind w:right="52"/>
              <w:spacing w:after="0"/>
              <w:rPr>
                <w:sz w:val="20"/>
                <w:szCs w:val="20"/>
                <w:color w:val="auto"/>
              </w:rPr>
            </w:pPr>
            <w:r>
              <w:rPr>
                <w:rFonts w:ascii="Arial" w:cs="Arial" w:eastAsia="Arial" w:hAnsi="Arial"/>
                <w:sz w:val="18"/>
                <w:szCs w:val="18"/>
                <w:b w:val="1"/>
                <w:bCs w:val="1"/>
                <w:color w:val="auto"/>
              </w:rPr>
              <w:t>Approximate dollar value of</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purchased as part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jc w:val="center"/>
              <w:ind w:right="52"/>
              <w:spacing w:after="0" w:line="180"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Average price paid per</w:t>
            </w:r>
          </w:p>
        </w:tc>
        <w:tc>
          <w:tcPr>
            <w:tcW w:w="120" w:type="dxa"/>
            <w:vAlign w:val="bottom"/>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publicly announced</w:t>
            </w:r>
          </w:p>
        </w:tc>
        <w:tc>
          <w:tcPr>
            <w:tcW w:w="100" w:type="dxa"/>
            <w:vAlign w:val="bottom"/>
          </w:tcPr>
          <w:p>
            <w:pPr>
              <w:spacing w:after="0"/>
              <w:rPr>
                <w:sz w:val="5"/>
                <w:szCs w:val="5"/>
                <w:color w:val="auto"/>
              </w:rPr>
            </w:pPr>
          </w:p>
        </w:tc>
        <w:tc>
          <w:tcPr>
            <w:tcW w:w="2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purchased under the plans or</w:t>
            </w:r>
          </w:p>
        </w:tc>
        <w:tc>
          <w:tcPr>
            <w:tcW w:w="0" w:type="dxa"/>
            <w:vAlign w:val="bottom"/>
          </w:tcPr>
          <w:p>
            <w:pPr>
              <w:spacing w:after="0"/>
              <w:rPr>
                <w:sz w:val="1"/>
                <w:szCs w:val="1"/>
                <w:color w:val="auto"/>
              </w:rPr>
            </w:pPr>
          </w:p>
        </w:tc>
      </w:tr>
      <w:tr>
        <w:trPr>
          <w:trHeight w:val="175"/>
        </w:trPr>
        <w:tc>
          <w:tcPr>
            <w:tcW w:w="2140" w:type="dxa"/>
            <w:vAlign w:val="bottom"/>
            <w:vMerge w:val="restart"/>
          </w:tcPr>
          <w:p>
            <w:pPr>
              <w:ind w:left="80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0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30"/>
              <w:spacing w:after="0" w:line="176" w:lineRule="exact"/>
              <w:rPr>
                <w:sz w:val="20"/>
                <w:szCs w:val="20"/>
                <w:color w:val="auto"/>
              </w:rPr>
            </w:pPr>
            <w:r>
              <w:rPr>
                <w:rFonts w:ascii="Arial" w:cs="Arial" w:eastAsia="Arial" w:hAnsi="Arial"/>
                <w:sz w:val="18"/>
                <w:szCs w:val="18"/>
                <w:b w:val="1"/>
                <w:bCs w:val="1"/>
                <w:color w:val="auto"/>
              </w:rPr>
              <w:t>share</w:t>
            </w:r>
          </w:p>
        </w:tc>
        <w:tc>
          <w:tcPr>
            <w:tcW w:w="120" w:type="dxa"/>
            <w:vAlign w:val="bottom"/>
          </w:tcPr>
          <w:p>
            <w:pPr>
              <w:spacing w:after="0"/>
              <w:rPr>
                <w:sz w:val="15"/>
                <w:szCs w:val="15"/>
                <w:color w:val="auto"/>
              </w:rPr>
            </w:pPr>
          </w:p>
        </w:tc>
        <w:tc>
          <w:tcPr>
            <w:tcW w:w="21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right="32"/>
              <w:spacing w:after="0" w:line="176" w:lineRule="exact"/>
              <w:rPr>
                <w:sz w:val="20"/>
                <w:szCs w:val="20"/>
                <w:color w:val="auto"/>
              </w:rPr>
            </w:pPr>
            <w:r>
              <w:rPr>
                <w:rFonts w:ascii="Arial" w:cs="Arial" w:eastAsia="Arial" w:hAnsi="Arial"/>
                <w:sz w:val="16"/>
                <w:szCs w:val="16"/>
                <w:b w:val="1"/>
                <w:bCs w:val="1"/>
                <w:color w:val="auto"/>
              </w:rPr>
              <w:t xml:space="preserve">programs (in millions)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4/1/2023-4/30/2023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5/1/2023-5/31/2023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18,852</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6/1/2023-6/30/2023</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firstLine="8"/>
        <w:spacing w:after="0" w:line="263" w:lineRule="auto"/>
        <w:tabs>
          <w:tab w:leader="none" w:pos="39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1,094 shares in April 2023, 18,852 shares in May 2023 and no shares in June 2023 which were purchased from employees to satisfy their tax withholding obligations related to share-based awards that vested during those months.</w:t>
      </w:r>
    </w:p>
    <w:p>
      <w:pPr>
        <w:ind w:firstLine="8"/>
        <w:spacing w:after="0" w:line="260" w:lineRule="auto"/>
        <w:tabs>
          <w:tab w:leader="none" w:pos="415"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17, 2022, our Board of Directors authorized share repurchases under the Share Repurchase Program for up to $75.0 million, effective through November 17,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220" w:type="dxa"/>
            <w:vAlign w:val="bottom"/>
            <w:tcBorders>
              <w:bottom w:val="single" w:sz="8" w:color="auto"/>
            </w:tcBorders>
            <w:gridSpan w:val="10"/>
          </w:tcPr>
          <w:p>
            <w:pPr>
              <w:ind w:left="3800"/>
              <w:spacing w:after="0"/>
              <w:rPr>
                <w:sz w:val="20"/>
                <w:szCs w:val="20"/>
                <w:color w:val="auto"/>
              </w:rPr>
            </w:pPr>
            <w:r>
              <w:rPr>
                <w:rFonts w:ascii="Arial" w:cs="Arial" w:eastAsia="Arial" w:hAnsi="Arial"/>
                <w:sz w:val="14"/>
                <w:szCs w:val="14"/>
                <w:b w:val="1"/>
                <w:bCs w:val="1"/>
                <w:color w:val="auto"/>
              </w:rPr>
              <w:t>Description</w:t>
            </w:r>
          </w:p>
        </w:tc>
      </w:tr>
      <w:tr>
        <w:trPr>
          <w:trHeight w:val="251"/>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11"/>
          </w:tcPr>
          <w:p>
            <w:pPr>
              <w:spacing w:after="0"/>
              <w:rPr>
                <w:rFonts w:ascii="Arial" w:cs="Arial" w:eastAsia="Arial" w:hAnsi="Arial"/>
                <w:sz w:val="18"/>
                <w:szCs w:val="18"/>
                <w:color w:val="0000FF"/>
              </w:rPr>
            </w:pPr>
            <w:hyperlink r:id="rId67">
              <w:r>
                <w:rPr>
                  <w:rFonts w:ascii="Arial" w:cs="Arial" w:eastAsia="Arial" w:hAnsi="Arial"/>
                  <w:sz w:val="18"/>
                  <w:szCs w:val="18"/>
                  <w:color w:val="0000FF"/>
                </w:rPr>
                <w:t>Amended and Restated Certificate of Incorporation of Open Lending Corporation (incorporated by reference to Exhibit 3.1 to</w:t>
              </w:r>
            </w:hyperlink>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Open Lending Corporation’s Current Report on Form 8-K filed June 15, 2020).</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rFonts w:ascii="Arial" w:cs="Arial" w:eastAsia="Arial" w:hAnsi="Arial"/>
                <w:sz w:val="18"/>
                <w:szCs w:val="18"/>
                <w:color w:val="0000FF"/>
              </w:rPr>
            </w:pPr>
            <w:hyperlink r:id="rId68">
              <w:r>
                <w:rPr>
                  <w:rFonts w:ascii="Arial" w:cs="Arial" w:eastAsia="Arial" w:hAnsi="Arial"/>
                  <w:sz w:val="18"/>
                  <w:szCs w:val="18"/>
                  <w:color w:val="0000FF"/>
                </w:rPr>
                <w:t>Amended and Restated Bylaws of Open Lending Corporation (incorporated by reference to Exhibit 3.2 to Open Lending</w:t>
              </w:r>
            </w:hyperlink>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Corporation’s Current Report on Form 8-K filed June 15, 2020).</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rFonts w:ascii="Arial" w:cs="Arial" w:eastAsia="Arial" w:hAnsi="Arial"/>
                <w:sz w:val="18"/>
                <w:szCs w:val="18"/>
                <w:color w:val="0000FF"/>
              </w:rPr>
            </w:pPr>
            <w:hyperlink r:id="rId69">
              <w:r>
                <w:rPr>
                  <w:rFonts w:ascii="Arial" w:cs="Arial" w:eastAsia="Arial" w:hAnsi="Arial"/>
                  <w:sz w:val="18"/>
                  <w:szCs w:val="18"/>
                  <w:color w:val="0000FF"/>
                </w:rPr>
                <w:t>First Amendment to Advisory and Consulting Services Agreement by and between the Company and Ross M. Jessup, dated</w:t>
              </w:r>
            </w:hyperlink>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April 7, 2023 (incorporated by reference to Exhibit 10.1 to Open Lending Corporation’s Current Report on Form 8-K filed April</w:t>
              </w:r>
            </w:hyperlink>
          </w:p>
        </w:tc>
      </w:tr>
      <w:tr>
        <w:trPr>
          <w:trHeight w:val="20"/>
        </w:trPr>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60" w:type="dxa"/>
            <w:vAlign w:val="bottom"/>
            <w:gridSpan w:val="3"/>
          </w:tcPr>
          <w:p>
            <w:pPr>
              <w:ind w:left="240"/>
              <w:spacing w:after="0" w:line="19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12, 2023).</w:t>
              </w:r>
            </w:hyperlink>
          </w:p>
        </w:tc>
        <w:tc>
          <w:tcPr>
            <w:tcW w:w="4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rFonts w:ascii="Arial" w:cs="Arial" w:eastAsia="Arial" w:hAnsi="Arial"/>
                <w:sz w:val="18"/>
                <w:szCs w:val="18"/>
                <w:color w:val="0000FF"/>
              </w:rPr>
            </w:pPr>
            <w:hyperlink r:id="rId70">
              <w:r>
                <w:rPr>
                  <w:rFonts w:ascii="Arial" w:cs="Arial" w:eastAsia="Arial" w:hAnsi="Arial"/>
                  <w:sz w:val="18"/>
                  <w:szCs w:val="18"/>
                  <w:color w:val="0000FF"/>
                </w:rPr>
                <w:t>First Amendment to Transition Services Agreement by and between the Company and John J. Flynn, dated July 27, 2023</w:t>
              </w:r>
            </w:hyperlink>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9"/>
          </w:tcPr>
          <w:p>
            <w:pPr>
              <w:spacing w:after="0" w:line="196"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(incorporated by reference to Exhibit 10.1 to Open Lending Corporation’s Current Report on Form 8-K filed August 2, 2023).</w:t>
              </w:r>
            </w:hyperlink>
          </w:p>
        </w:tc>
        <w:tc>
          <w:tcPr>
            <w:tcW w:w="200" w:type="dxa"/>
            <w:vAlign w:val="bottom"/>
            <w:gridSpan w:val="2"/>
          </w:tcPr>
          <w:p>
            <w:pPr>
              <w:spacing w:after="0"/>
              <w:rPr>
                <w:sz w:val="17"/>
                <w:szCs w:val="17"/>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of 2002.</w:t>
            </w: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c>
          <w:tcPr>
            <w:tcW w:w="1920" w:type="dxa"/>
            <w:vAlign w:val="bottom"/>
            <w:gridSpan w:val="6"/>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4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pursuant to Section 906 of the Sarbanes-Oxley Act of 2002 (18 U.S.C. § 1350)</w:t>
            </w:r>
          </w:p>
        </w:tc>
      </w:tr>
      <w:tr>
        <w:trPr>
          <w:trHeight w:val="304"/>
        </w:trPr>
        <w:tc>
          <w:tcPr>
            <w:tcW w:w="96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Certification of Chief Financial Officer pursuant to Section 906 of the Sarbanes-Oxley Act of 2002 (18 U.S.C. § 1350)</w:t>
            </w:r>
          </w:p>
        </w:tc>
        <w:tc>
          <w:tcPr>
            <w:tcW w:w="720" w:type="dxa"/>
            <w:vAlign w:val="bottom"/>
            <w:gridSpan w:val="4"/>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40" w:type="dxa"/>
            <w:vAlign w:val="bottom"/>
            <w:gridSpan w:val="6"/>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r>
      <w:tr>
        <w:trPr>
          <w:trHeight w:val="332"/>
        </w:trPr>
        <w:tc>
          <w:tcPr>
            <w:tcW w:w="96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The following financial statements from Open Lending Corporation’s Quarterly Report on Form 10-Q for the quarterly period</w:t>
            </w:r>
          </w:p>
        </w:tc>
      </w:tr>
      <w:tr>
        <w:trPr>
          <w:trHeight w:val="229"/>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ended June 30, 2023, formatted in iXBRL (Inline eXtensible Business Reporting Language):</w:t>
            </w:r>
          </w:p>
        </w:tc>
      </w:tr>
      <w:tr>
        <w:trPr>
          <w:trHeight w:val="32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(ii) Condensed Consolidated Statement of Operations</w:t>
            </w:r>
          </w:p>
        </w:tc>
      </w:tr>
      <w:tr>
        <w:trPr>
          <w:trHeight w:val="32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(iii) Condensed Consolidated Statements of Changes in Stockholders’ Equity</w:t>
            </w:r>
          </w:p>
        </w:tc>
      </w:tr>
      <w:tr>
        <w:trPr>
          <w:trHeight w:val="32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(v) Notes to Condensed Consolidated Financial Statements</w:t>
            </w:r>
          </w:p>
        </w:tc>
      </w:tr>
      <w:tr>
        <w:trPr>
          <w:trHeight w:val="324"/>
        </w:trPr>
        <w:tc>
          <w:tcPr>
            <w:tcW w:w="96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41" w:lineRule="exact"/>
        <w:rPr>
          <w:sz w:val="20"/>
          <w:szCs w:val="20"/>
          <w:color w:val="auto"/>
        </w:rPr>
      </w:pPr>
    </w:p>
    <w:p>
      <w:pPr>
        <w:ind w:left="1200" w:hanging="75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200" w:hanging="792"/>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ind w:right="400" w:firstLine="486"/>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9"/>
        </w:trPr>
        <w:tc>
          <w:tcPr>
            <w:tcW w:w="610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23"/>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90"/>
        </w:trPr>
        <w:tc>
          <w:tcPr>
            <w:tcW w:w="6100" w:type="dxa"/>
            <w:vAlign w:val="bottom"/>
          </w:tcPr>
          <w:p>
            <w:pPr>
              <w:spacing w:after="0"/>
              <w:rPr>
                <w:sz w:val="16"/>
                <w:szCs w:val="16"/>
                <w:color w:val="auto"/>
              </w:rPr>
            </w:pPr>
          </w:p>
        </w:tc>
        <w:tc>
          <w:tcPr>
            <w:tcW w:w="510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w:t>
            </w:r>
          </w:p>
        </w:tc>
      </w:tr>
      <w:tr>
        <w:trPr>
          <w:trHeight w:val="229"/>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7"/>
        </w:trPr>
        <w:tc>
          <w:tcPr>
            <w:tcW w:w="610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29"/>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August 9, 2023</w:t>
            </w:r>
          </w:p>
        </w:tc>
        <w:tc>
          <w:tcPr>
            <w:tcW w:w="51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29"/>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5"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Keith A. Jezek, certify that:</w:t>
      </w:r>
    </w:p>
    <w:p>
      <w:pPr>
        <w:spacing w:after="0" w:line="117"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hanging="486"/>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jc w:val="both"/>
        <w:ind w:left="980" w:hanging="486"/>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sz w:val="20"/>
          <w:szCs w:val="20"/>
          <w:color w:val="auto"/>
        </w:rPr>
      </w:pPr>
    </w:p>
    <w:p>
      <w:pPr>
        <w:jc w:val="both"/>
        <w:ind w:left="980" w:hanging="486"/>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jc w:val="both"/>
        <w:ind w:left="980" w:hanging="486"/>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460" w:hanging="480"/>
        <w:spacing w:after="0" w:line="275"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Date: August 9, 2023</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23"/>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90"/>
        </w:trPr>
        <w:tc>
          <w:tcPr>
            <w:tcW w:w="6100" w:type="dxa"/>
            <w:vAlign w:val="bottom"/>
          </w:tcPr>
          <w:p>
            <w:pPr>
              <w:spacing w:after="0"/>
              <w:rPr>
                <w:sz w:val="16"/>
                <w:szCs w:val="16"/>
                <w:color w:val="auto"/>
              </w:rPr>
            </w:pPr>
          </w:p>
        </w:tc>
        <w:tc>
          <w:tcPr>
            <w:tcW w:w="510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w:t>
            </w:r>
          </w:p>
        </w:tc>
      </w:tr>
      <w:tr>
        <w:trPr>
          <w:trHeight w:val="229"/>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2"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certify that:</w:t>
      </w:r>
    </w:p>
    <w:p>
      <w:pPr>
        <w:spacing w:after="0" w:line="117"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hanging="486"/>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jc w:val="both"/>
        <w:ind w:left="980" w:hanging="486"/>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sz w:val="20"/>
          <w:szCs w:val="20"/>
          <w:color w:val="auto"/>
        </w:rPr>
      </w:pPr>
    </w:p>
    <w:p>
      <w:pPr>
        <w:jc w:val="both"/>
        <w:ind w:left="980" w:hanging="486"/>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jc w:val="both"/>
        <w:ind w:left="980" w:hanging="486"/>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460" w:hanging="480"/>
        <w:spacing w:after="0" w:line="275"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Date: August 9, 2023</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23"/>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90"/>
        </w:trPr>
        <w:tc>
          <w:tcPr>
            <w:tcW w:w="6100" w:type="dxa"/>
            <w:vAlign w:val="bottom"/>
          </w:tcPr>
          <w:p>
            <w:pPr>
              <w:spacing w:after="0"/>
              <w:rPr>
                <w:sz w:val="16"/>
                <w:szCs w:val="16"/>
                <w:color w:val="auto"/>
              </w:rPr>
            </w:pPr>
          </w:p>
        </w:tc>
        <w:tc>
          <w:tcPr>
            <w:tcW w:w="510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r>
      <w:tr>
        <w:trPr>
          <w:trHeight w:val="229"/>
        </w:trPr>
        <w:tc>
          <w:tcPr>
            <w:tcW w:w="6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for the fiscal quarter ended June 30, 2023 of Open Lending Corporation, a Delaware corporation (the “Company”), as filed with the Securities and Exchange Commission on the date hereof (the “Form 10 -Q”), I, Keith A. Jezek, Chief Executive Officer of the Company, certify, pursuant to 18 U.S.C. section 1350, as adopted pursuant to section 906 of the Sarbanes-Oxley Act of 2002, that to the best of my knowledge:</w:t>
      </w:r>
    </w:p>
    <w:p>
      <w:pPr>
        <w:spacing w:after="0" w:line="82" w:lineRule="exact"/>
        <w:rPr>
          <w:sz w:val="20"/>
          <w:szCs w:val="20"/>
          <w:color w:val="auto"/>
        </w:rPr>
      </w:pPr>
    </w:p>
    <w:p>
      <w:pPr>
        <w:ind w:left="500" w:right="660" w:hanging="492"/>
        <w:spacing w:after="0" w:line="275"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65" w:lineRule="exact"/>
        <w:rPr>
          <w:rFonts w:ascii="Arial" w:cs="Arial" w:eastAsia="Arial" w:hAnsi="Arial"/>
          <w:sz w:val="18"/>
          <w:szCs w:val="18"/>
          <w:color w:val="auto"/>
        </w:rPr>
      </w:pPr>
    </w:p>
    <w:p>
      <w:pPr>
        <w:ind w:left="500" w:right="300" w:hanging="492"/>
        <w:spacing w:after="0" w:line="275"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9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Keith A. Jezek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13970</wp:posOffset>
            </wp:positionV>
            <wp:extent cx="32315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Keith A. Jezek</w:t>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7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August 9, 2023</w:t>
      </w:r>
    </w:p>
    <w:p>
      <w:pPr>
        <w:sectPr>
          <w:pgSz w:w="11900" w:h="16838" w:orient="portrait"/>
          <w:cols w:equalWidth="0" w:num="1">
            <w:col w:w="11240"/>
          </w:cols>
          <w:pgMar w:left="320" w:top="110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for the fiscal quarter ended June 30, 2023 of Open Lending Corporation, a Delaware corporation (the “Company”), as filed with the Securities and Exchange Commission on the date hereof (the “Form 10-Q”), I, Charles D. Jehl, Chief Financial Officer of the Company, certify, pursuant to 18 U.S.C. section 1350, as adopted pursuant to section 906 of the Sarbanes-Oxley Act of 2002, that to the best of my knowledge:</w:t>
      </w:r>
    </w:p>
    <w:p>
      <w:pPr>
        <w:spacing w:after="0" w:line="82" w:lineRule="exact"/>
        <w:rPr>
          <w:sz w:val="20"/>
          <w:szCs w:val="20"/>
          <w:color w:val="auto"/>
        </w:rPr>
      </w:pPr>
    </w:p>
    <w:p>
      <w:pPr>
        <w:ind w:left="500" w:right="660" w:hanging="492"/>
        <w:spacing w:after="0" w:line="275"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65" w:lineRule="exact"/>
        <w:rPr>
          <w:rFonts w:ascii="Arial" w:cs="Arial" w:eastAsia="Arial" w:hAnsi="Arial"/>
          <w:sz w:val="18"/>
          <w:szCs w:val="18"/>
          <w:color w:val="auto"/>
        </w:rPr>
      </w:pPr>
    </w:p>
    <w:p>
      <w:pPr>
        <w:ind w:left="500" w:right="300" w:hanging="492"/>
        <w:spacing w:after="0" w:line="275"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9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13970</wp:posOffset>
            </wp:positionV>
            <wp:extent cx="32315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7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August 9, 2023</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lvl w:ilvl="1">
      <w:lvlJc w:val="left"/>
      <w:lvlText w:val="%2)"/>
      <w:numFmt w:val="lowerLetter"/>
      <w:start w:val="1"/>
    </w:lvl>
  </w:abstractNum>
  <w:abstractNum w:abstractNumId="13">
    <w:nsid w:val="519B500D"/>
    <w:multiLevelType w:val="hybridMultilevel"/>
    <w:lvl w:ilvl="0">
      <w:lvlJc w:val="left"/>
      <w:lvlText w:val="5"/>
      <w:numFmt w:val="bullet"/>
      <w:start w:val="1"/>
    </w:lvl>
    <w:lvl w:ilvl="1">
      <w:lvlJc w:val="left"/>
      <w:lvlText w:val="%2)"/>
      <w:numFmt w:val="lowerLetter"/>
      <w:start w:val="1"/>
    </w:lvl>
  </w:abstractNum>
  <w:abstractNum w:abstractNumId="14">
    <w:nsid w:val="431BD7B7"/>
    <w:multiLevelType w:val="hybridMultilevel"/>
    <w:lvl w:ilvl="0">
      <w:lvlJc w:val="left"/>
      <w:lvlText w:val="1"/>
      <w:numFmt w:val="bullet"/>
      <w:start w:val="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3"/>
      <w:numFmt w:val="bullet"/>
      <w:start w:val="1"/>
    </w:lvl>
  </w:abstractNum>
  <w:abstractNum w:abstractNumId="17">
    <w:nsid w:val="257130A3"/>
    <w:multiLevelType w:val="hybridMultilevel"/>
    <w:lvl w:ilvl="0">
      <w:lvlJc w:val="left"/>
      <w:lvlText w:val="4"/>
      <w:numFmt w:val="bullet"/>
      <w:start w:val="1"/>
    </w:lvl>
    <w:lvl w:ilvl="1">
      <w:lvlJc w:val="left"/>
      <w:lvlText w:val="%2)"/>
      <w:numFmt w:val="lowerLetter"/>
      <w:start w:val="1"/>
    </w:lvl>
  </w:abstractNum>
  <w:abstractNum w:abstractNumId="18">
    <w:nsid w:val="62BBD95A"/>
    <w:multiLevelType w:val="hybridMultilevel"/>
    <w:lvl w:ilvl="0">
      <w:lvlJc w:val="left"/>
      <w:lvlText w:val="5"/>
      <w:numFmt w:val="bullet"/>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67" Type="http://schemas.openxmlformats.org/officeDocument/2006/relationships/hyperlink" Target="https://www.sec.gov/Archives/edgar/data/1806201/000119312520169633/d941403dex31.htm" TargetMode="External"/><Relationship Id="rId68" Type="http://schemas.openxmlformats.org/officeDocument/2006/relationships/hyperlink" Target="https://www.sec.gov/Archives/edgar/data/1806201/000119312520169633/d941403dex32.htm" TargetMode="External"/><Relationship Id="rId69" Type="http://schemas.openxmlformats.org/officeDocument/2006/relationships/hyperlink" Target="https://www.sec.gov/Archives/edgar/data/1806201/000180620123000051/a23-04x04firstamendmenttoa.htm" TargetMode="External"/><Relationship Id="rId70" Type="http://schemas.openxmlformats.org/officeDocument/2006/relationships/hyperlink" Target="https://www.sec.gov/Archives/edgar/data/1806201/000180620123000096/lpro-amendmenttotsaflyn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2023-08-09T07:56:04Z</dcterms:created>
  <dcterms:modified xsi:type="dcterms:W3CDTF">2023-08-09T07:56:04Z</dcterms:modified>
</cp:coreProperties>
</file>