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85"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14"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39" w:lineRule="exact"/>
        <w:rPr>
          <w:sz w:val="24"/>
          <w:szCs w:val="24"/>
          <w:color w:val="auto"/>
        </w:rPr>
      </w:pPr>
    </w:p>
    <w:p>
      <w:pPr>
        <w:ind w:left="3700"/>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63500</wp:posOffset>
            </wp:positionV>
            <wp:extent cx="171450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OPEN LENDING CORPORATION</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4" w:lineRule="exact"/>
        <w:rPr>
          <w:sz w:val="24"/>
          <w:szCs w:val="24"/>
          <w:color w:val="auto"/>
        </w:rPr>
      </w:pPr>
    </w:p>
    <w:tbl>
      <w:tblPr>
        <w:tblLayout w:type="fixed"/>
        <w:tblInd w:w="980" w:type="dxa"/>
        <w:tblCellMar>
          <w:top w:w="0" w:type="dxa"/>
          <w:left w:w="0" w:type="dxa"/>
          <w:bottom w:w="0" w:type="dxa"/>
          <w:right w:w="0" w:type="dxa"/>
        </w:tblCellMar>
      </w:tblPr>
      <w:tr>
        <w:trPr>
          <w:trHeight w:val="230"/>
        </w:trPr>
        <w:tc>
          <w:tcPr>
            <w:tcW w:w="2220" w:type="dxa"/>
            <w:vAlign w:val="bottom"/>
          </w:tcPr>
          <w:p>
            <w:pPr>
              <w:jc w:val="center"/>
              <w:ind w:right="362"/>
              <w:spacing w:after="0"/>
              <w:rPr>
                <w:sz w:val="20"/>
                <w:szCs w:val="20"/>
                <w:color w:val="auto"/>
              </w:rPr>
            </w:pPr>
            <w:r>
              <w:rPr>
                <w:rFonts w:ascii="Arial" w:cs="Arial" w:eastAsia="Arial" w:hAnsi="Arial"/>
                <w:sz w:val="18"/>
                <w:szCs w:val="18"/>
                <w:b w:val="1"/>
                <w:bCs w:val="1"/>
                <w:color w:val="auto"/>
                <w:w w:val="98"/>
              </w:rPr>
              <w:t>Delaware</w:t>
            </w:r>
          </w:p>
        </w:tc>
        <w:tc>
          <w:tcPr>
            <w:tcW w:w="4920" w:type="dxa"/>
            <w:vAlign w:val="bottom"/>
          </w:tcPr>
          <w:p>
            <w:pPr>
              <w:jc w:val="center"/>
              <w:ind w:right="13"/>
              <w:spacing w:after="0"/>
              <w:rPr>
                <w:sz w:val="20"/>
                <w:szCs w:val="20"/>
                <w:color w:val="auto"/>
              </w:rPr>
            </w:pPr>
            <w:r>
              <w:rPr>
                <w:rFonts w:ascii="Arial" w:cs="Arial" w:eastAsia="Arial" w:hAnsi="Arial"/>
                <w:sz w:val="18"/>
                <w:szCs w:val="18"/>
                <w:b w:val="1"/>
                <w:bCs w:val="1"/>
                <w:color w:val="auto"/>
                <w:w w:val="99"/>
              </w:rPr>
              <w:t>001-39326</w:t>
            </w:r>
          </w:p>
        </w:tc>
        <w:tc>
          <w:tcPr>
            <w:tcW w:w="200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84-5031428</w:t>
            </w:r>
          </w:p>
        </w:tc>
      </w:tr>
      <w:tr>
        <w:trPr>
          <w:trHeight w:val="235"/>
        </w:trPr>
        <w:tc>
          <w:tcPr>
            <w:tcW w:w="2220" w:type="dxa"/>
            <w:vAlign w:val="bottom"/>
          </w:tcPr>
          <w:p>
            <w:pPr>
              <w:jc w:val="center"/>
              <w:ind w:right="342"/>
              <w:spacing w:after="0"/>
              <w:rPr>
                <w:sz w:val="20"/>
                <w:szCs w:val="20"/>
                <w:color w:val="auto"/>
              </w:rPr>
            </w:pPr>
            <w:r>
              <w:rPr>
                <w:rFonts w:ascii="Arial" w:cs="Arial" w:eastAsia="Arial" w:hAnsi="Arial"/>
                <w:sz w:val="14"/>
                <w:szCs w:val="14"/>
                <w:b w:val="1"/>
                <w:bCs w:val="1"/>
                <w:color w:val="auto"/>
              </w:rPr>
              <w:t>(State or other jurisdiction</w:t>
            </w:r>
          </w:p>
        </w:tc>
        <w:tc>
          <w:tcPr>
            <w:tcW w:w="4920" w:type="dxa"/>
            <w:vAlign w:val="bottom"/>
          </w:tcPr>
          <w:p>
            <w:pPr>
              <w:jc w:val="center"/>
              <w:ind w:right="13"/>
              <w:spacing w:after="0"/>
              <w:rPr>
                <w:sz w:val="20"/>
                <w:szCs w:val="20"/>
                <w:color w:val="auto"/>
              </w:rPr>
            </w:pPr>
            <w:r>
              <w:rPr>
                <w:rFonts w:ascii="Arial" w:cs="Arial" w:eastAsia="Arial" w:hAnsi="Arial"/>
                <w:sz w:val="18"/>
                <w:szCs w:val="18"/>
                <w:b w:val="1"/>
                <w:bCs w:val="1"/>
                <w:color w:val="auto"/>
                <w:w w:val="99"/>
              </w:rPr>
              <w:t>(Commission</w:t>
            </w:r>
          </w:p>
        </w:tc>
        <w:tc>
          <w:tcPr>
            <w:tcW w:w="2000" w:type="dxa"/>
            <w:vAlign w:val="bottom"/>
          </w:tcPr>
          <w:p>
            <w:pPr>
              <w:jc w:val="center"/>
              <w:ind w:left="390"/>
              <w:spacing w:after="0"/>
              <w:rPr>
                <w:sz w:val="20"/>
                <w:szCs w:val="20"/>
                <w:color w:val="auto"/>
              </w:rPr>
            </w:pPr>
            <w:r>
              <w:rPr>
                <w:rFonts w:ascii="Arial" w:cs="Arial" w:eastAsia="Arial" w:hAnsi="Arial"/>
                <w:sz w:val="18"/>
                <w:szCs w:val="18"/>
                <w:b w:val="1"/>
                <w:bCs w:val="1"/>
                <w:color w:val="auto"/>
              </w:rPr>
              <w:t>(IRS Employer</w:t>
            </w:r>
          </w:p>
        </w:tc>
      </w:tr>
      <w:tr>
        <w:trPr>
          <w:trHeight w:val="247"/>
        </w:trPr>
        <w:tc>
          <w:tcPr>
            <w:tcW w:w="2220" w:type="dxa"/>
            <w:vAlign w:val="bottom"/>
          </w:tcPr>
          <w:p>
            <w:pPr>
              <w:jc w:val="center"/>
              <w:ind w:right="362"/>
              <w:spacing w:after="0"/>
              <w:rPr>
                <w:sz w:val="20"/>
                <w:szCs w:val="20"/>
                <w:color w:val="auto"/>
              </w:rPr>
            </w:pPr>
            <w:r>
              <w:rPr>
                <w:rFonts w:ascii="Arial" w:cs="Arial" w:eastAsia="Arial" w:hAnsi="Arial"/>
                <w:sz w:val="14"/>
                <w:szCs w:val="14"/>
                <w:b w:val="1"/>
                <w:bCs w:val="1"/>
                <w:color w:val="auto"/>
              </w:rPr>
              <w:t>of incorporation)</w:t>
            </w:r>
          </w:p>
        </w:tc>
        <w:tc>
          <w:tcPr>
            <w:tcW w:w="4920" w:type="dxa"/>
            <w:vAlign w:val="bottom"/>
          </w:tcPr>
          <w:p>
            <w:pPr>
              <w:jc w:val="center"/>
              <w:ind w:right="13"/>
              <w:spacing w:after="0"/>
              <w:rPr>
                <w:sz w:val="20"/>
                <w:szCs w:val="20"/>
                <w:color w:val="auto"/>
              </w:rPr>
            </w:pPr>
            <w:r>
              <w:rPr>
                <w:rFonts w:ascii="Arial" w:cs="Arial" w:eastAsia="Arial" w:hAnsi="Arial"/>
                <w:sz w:val="18"/>
                <w:szCs w:val="18"/>
                <w:b w:val="1"/>
                <w:bCs w:val="1"/>
                <w:color w:val="auto"/>
                <w:w w:val="99"/>
              </w:rPr>
              <w:t>File Number)</w:t>
            </w:r>
          </w:p>
        </w:tc>
        <w:tc>
          <w:tcPr>
            <w:tcW w:w="200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Identification No.)</w:t>
            </w:r>
          </w:p>
        </w:tc>
      </w:tr>
      <w:tr>
        <w:trPr>
          <w:trHeight w:val="328"/>
        </w:trPr>
        <w:tc>
          <w:tcPr>
            <w:tcW w:w="2220" w:type="dxa"/>
            <w:vAlign w:val="bottom"/>
          </w:tcPr>
          <w:p>
            <w:pPr>
              <w:spacing w:after="0"/>
              <w:rPr>
                <w:sz w:val="24"/>
                <w:szCs w:val="24"/>
                <w:color w:val="auto"/>
              </w:rPr>
            </w:pP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99"/>
              </w:rPr>
              <w:t>1501 S. MoPac Expressway</w:t>
            </w:r>
          </w:p>
        </w:tc>
        <w:tc>
          <w:tcPr>
            <w:tcW w:w="200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rPr>
              <w:t>Suite 450</w:t>
            </w:r>
          </w:p>
        </w:tc>
        <w:tc>
          <w:tcPr>
            <w:tcW w:w="2000" w:type="dxa"/>
            <w:vAlign w:val="bottom"/>
          </w:tcPr>
          <w:p>
            <w:pPr>
              <w:spacing w:after="0"/>
              <w:rPr>
                <w:sz w:val="18"/>
                <w:szCs w:val="18"/>
                <w:color w:val="auto"/>
              </w:rPr>
            </w:pPr>
          </w:p>
        </w:tc>
      </w:tr>
      <w:tr>
        <w:trPr>
          <w:trHeight w:val="226"/>
        </w:trPr>
        <w:tc>
          <w:tcPr>
            <w:tcW w:w="2220" w:type="dxa"/>
            <w:vAlign w:val="bottom"/>
          </w:tcPr>
          <w:p>
            <w:pPr>
              <w:spacing w:after="0"/>
              <w:rPr>
                <w:sz w:val="19"/>
                <w:szCs w:val="19"/>
                <w:color w:val="auto"/>
              </w:rPr>
            </w:pP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98"/>
              </w:rPr>
              <w:t>Austin, Texas 78746</w:t>
            </w:r>
          </w:p>
        </w:tc>
        <w:tc>
          <w:tcPr>
            <w:tcW w:w="2000" w:type="dxa"/>
            <w:vAlign w:val="bottom"/>
          </w:tcPr>
          <w:p>
            <w:pPr>
              <w:spacing w:after="0"/>
              <w:rPr>
                <w:sz w:val="19"/>
                <w:szCs w:val="19"/>
                <w:color w:val="auto"/>
              </w:rPr>
            </w:pPr>
          </w:p>
        </w:tc>
      </w:tr>
      <w:tr>
        <w:trPr>
          <w:trHeight w:val="196"/>
        </w:trPr>
        <w:tc>
          <w:tcPr>
            <w:tcW w:w="2220" w:type="dxa"/>
            <w:vAlign w:val="bottom"/>
          </w:tcPr>
          <w:p>
            <w:pPr>
              <w:spacing w:after="0"/>
              <w:rPr>
                <w:sz w:val="17"/>
                <w:szCs w:val="17"/>
                <w:color w:val="auto"/>
              </w:rPr>
            </w:pPr>
          </w:p>
        </w:tc>
        <w:tc>
          <w:tcPr>
            <w:tcW w:w="4920" w:type="dxa"/>
            <w:vAlign w:val="bottom"/>
          </w:tcPr>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tc>
        <w:tc>
          <w:tcPr>
            <w:tcW w:w="2000" w:type="dxa"/>
            <w:vAlign w:val="bottom"/>
          </w:tcPr>
          <w:p>
            <w:pPr>
              <w:spacing w:after="0"/>
              <w:rPr>
                <w:sz w:val="17"/>
                <w:szCs w:val="17"/>
                <w:color w:val="auto"/>
              </w:rPr>
            </w:pPr>
          </w:p>
        </w:tc>
      </w:tr>
    </w:tbl>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512-892-0400</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135255</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right="220" w:firstLine="445"/>
        <w:spacing w:after="0" w:line="27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Title of each class</w:t>
            </w: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9"/>
        </w:trPr>
        <w:tc>
          <w:tcPr>
            <w:tcW w:w="3780" w:type="dxa"/>
            <w:vAlign w:val="bottom"/>
            <w:gridSpan w:val="2"/>
            <w:vMerge w:val="continue"/>
          </w:tcPr>
          <w:p>
            <w:pPr>
              <w:spacing w:after="0"/>
              <w:rPr>
                <w:sz w:val="16"/>
                <w:szCs w:val="16"/>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40"/>
        </w:trPr>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Common stock, par value $0.01 per share</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LPRO</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5" w:lineRule="exact"/>
        <w:rPr>
          <w:sz w:val="24"/>
          <w:szCs w:val="24"/>
          <w:color w:val="auto"/>
        </w:rPr>
      </w:pPr>
    </w:p>
    <w:p>
      <w:pPr>
        <w:ind w:left="88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June 3, 2026, Open Lending Corporation (the “Company”) held its Annual Meeting of Stockholders to consider and vote on the five proposals set forth below, each of which is described in greater detail in the Company’s definitive proxy statement filed with the Securities and Exchange Commission on April 20, 2026. The final voting results are set forth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1 - Election of Two Class III Director Nominees</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stockholders elected each of the two persons named below to serve as Class III members of the Company’s board of directors, to serve until the Company’s 2029 Annual Meeting of Stockholders and until his or her successor is duly elected and qualified. The results of such vote were as follows:</w:t>
      </w:r>
    </w:p>
    <w:p>
      <w:pPr>
        <w:spacing w:after="0" w:line="238" w:lineRule="exact"/>
        <w:rPr>
          <w:sz w:val="20"/>
          <w:szCs w:val="20"/>
          <w:color w:val="auto"/>
        </w:rPr>
      </w:pPr>
    </w:p>
    <w:tbl>
      <w:tblPr>
        <w:tblLayout w:type="fixed"/>
        <w:tblInd w:w="880" w:type="dxa"/>
        <w:tblCellMar>
          <w:top w:w="0" w:type="dxa"/>
          <w:left w:w="0" w:type="dxa"/>
          <w:bottom w:w="0" w:type="dxa"/>
          <w:right w:w="0" w:type="dxa"/>
        </w:tblCellMar>
      </w:tblPr>
      <w:tr>
        <w:trPr>
          <w:trHeight w:val="235"/>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4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6"/>
              </w:rPr>
              <w:t>For</w:t>
            </w:r>
          </w:p>
        </w:tc>
        <w:tc>
          <w:tcPr>
            <w:tcW w:w="21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Withhold</w:t>
            </w:r>
          </w:p>
        </w:tc>
        <w:tc>
          <w:tcPr>
            <w:tcW w:w="23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Broker Non-Vote</w:t>
            </w:r>
          </w:p>
        </w:tc>
      </w:tr>
      <w:tr>
        <w:trPr>
          <w:trHeight w:val="223"/>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Jessica Buss</w:t>
            </w:r>
          </w:p>
        </w:tc>
        <w:tc>
          <w:tcPr>
            <w:tcW w:w="24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rPr>
              <w:t>59,717,769</w:t>
            </w:r>
          </w:p>
        </w:tc>
        <w:tc>
          <w:tcPr>
            <w:tcW w:w="21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20,469,144</w:t>
            </w:r>
          </w:p>
        </w:tc>
        <w:tc>
          <w:tcPr>
            <w:tcW w:w="23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22,126,203</w:t>
            </w:r>
          </w:p>
        </w:tc>
      </w:tr>
      <w:tr>
        <w:trPr>
          <w:trHeight w:val="239"/>
        </w:trPr>
        <w:tc>
          <w:tcPr>
            <w:tcW w:w="2560" w:type="dxa"/>
            <w:vAlign w:val="bottom"/>
          </w:tcPr>
          <w:p>
            <w:pPr>
              <w:ind w:left="20"/>
              <w:spacing w:after="0"/>
              <w:rPr>
                <w:sz w:val="20"/>
                <w:szCs w:val="20"/>
                <w:color w:val="auto"/>
              </w:rPr>
            </w:pPr>
            <w:r>
              <w:rPr>
                <w:rFonts w:ascii="Arial" w:cs="Arial" w:eastAsia="Arial" w:hAnsi="Arial"/>
                <w:sz w:val="18"/>
                <w:szCs w:val="18"/>
                <w:color w:val="auto"/>
              </w:rPr>
              <w:t>William Dabbs Cavin</w:t>
            </w:r>
          </w:p>
        </w:tc>
        <w:tc>
          <w:tcPr>
            <w:tcW w:w="2460" w:type="dxa"/>
            <w:vAlign w:val="bottom"/>
          </w:tcPr>
          <w:p>
            <w:pPr>
              <w:jc w:val="center"/>
              <w:ind w:left="130"/>
              <w:spacing w:after="0"/>
              <w:rPr>
                <w:sz w:val="20"/>
                <w:szCs w:val="20"/>
                <w:color w:val="auto"/>
              </w:rPr>
            </w:pPr>
            <w:r>
              <w:rPr>
                <w:rFonts w:ascii="Arial" w:cs="Arial" w:eastAsia="Arial" w:hAnsi="Arial"/>
                <w:sz w:val="18"/>
                <w:szCs w:val="18"/>
                <w:color w:val="auto"/>
              </w:rPr>
              <w:t>78,285,135</w:t>
            </w:r>
          </w:p>
        </w:tc>
        <w:tc>
          <w:tcPr>
            <w:tcW w:w="2100" w:type="dxa"/>
            <w:vAlign w:val="bottom"/>
          </w:tcPr>
          <w:p>
            <w:pPr>
              <w:jc w:val="right"/>
              <w:ind w:right="490"/>
              <w:spacing w:after="0"/>
              <w:rPr>
                <w:sz w:val="20"/>
                <w:szCs w:val="20"/>
                <w:color w:val="auto"/>
              </w:rPr>
            </w:pPr>
            <w:r>
              <w:rPr>
                <w:rFonts w:ascii="Arial" w:cs="Arial" w:eastAsia="Arial" w:hAnsi="Arial"/>
                <w:sz w:val="18"/>
                <w:szCs w:val="18"/>
                <w:color w:val="auto"/>
              </w:rPr>
              <w:t>1,901,778</w:t>
            </w:r>
          </w:p>
        </w:tc>
        <w:tc>
          <w:tcPr>
            <w:tcW w:w="2380" w:type="dxa"/>
            <w:vAlign w:val="bottom"/>
          </w:tcPr>
          <w:p>
            <w:pPr>
              <w:jc w:val="center"/>
              <w:ind w:left="30"/>
              <w:spacing w:after="0"/>
              <w:rPr>
                <w:sz w:val="20"/>
                <w:szCs w:val="20"/>
                <w:color w:val="auto"/>
              </w:rPr>
            </w:pPr>
            <w:r>
              <w:rPr>
                <w:rFonts w:ascii="Arial" w:cs="Arial" w:eastAsia="Arial" w:hAnsi="Arial"/>
                <w:sz w:val="18"/>
                <w:szCs w:val="18"/>
                <w:color w:val="auto"/>
                <w:w w:val="99"/>
              </w:rPr>
              <w:t>22,126,203</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2 - Ratification of the Appointment of Ernst &amp; Young LLP as the Company’s Independent Registered Public Accounting Firm</w:t>
      </w:r>
    </w:p>
    <w:p>
      <w:pPr>
        <w:spacing w:after="0" w:line="25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stockholders ratified the appointment of Ernst &amp; Young LLP as the Company’s independent registered public accounting firm for the fiscal year ending December 31, 2026. The results of such vote were as follows:</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235"/>
        </w:trPr>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1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Against</w:t>
            </w:r>
          </w:p>
        </w:tc>
        <w:tc>
          <w:tcPr>
            <w:tcW w:w="20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Abstain</w:t>
            </w:r>
          </w:p>
        </w:tc>
        <w:tc>
          <w:tcPr>
            <w:tcW w:w="24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9"/>
              </w:rPr>
              <w:t>Broker Non-Vote</w:t>
            </w:r>
          </w:p>
        </w:tc>
      </w:tr>
      <w:tr>
        <w:trPr>
          <w:trHeight w:val="223"/>
        </w:trPr>
        <w:tc>
          <w:tcPr>
            <w:tcW w:w="23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102,167,482</w:t>
            </w:r>
          </w:p>
        </w:tc>
        <w:tc>
          <w:tcPr>
            <w:tcW w:w="21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95,452</w:t>
            </w:r>
          </w:p>
        </w:tc>
        <w:tc>
          <w:tcPr>
            <w:tcW w:w="20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50,182</w:t>
            </w:r>
          </w:p>
        </w:tc>
        <w:tc>
          <w:tcPr>
            <w:tcW w:w="24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0</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3 - Nonbinding Advisory Vote Approving the Compensation of the Company’s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approved the compensation of the Company’s named executive officers. The results of such vote were as follows:</w:t>
      </w:r>
    </w:p>
    <w:p>
      <w:pPr>
        <w:spacing w:after="0" w:line="293" w:lineRule="exact"/>
        <w:rPr>
          <w:sz w:val="20"/>
          <w:szCs w:val="20"/>
          <w:color w:val="auto"/>
        </w:rPr>
      </w:pPr>
    </w:p>
    <w:tbl>
      <w:tblPr>
        <w:tblLayout w:type="fixed"/>
        <w:tblInd w:w="1160" w:type="dxa"/>
        <w:tblCellMar>
          <w:top w:w="0" w:type="dxa"/>
          <w:left w:w="0" w:type="dxa"/>
          <w:bottom w:w="0" w:type="dxa"/>
          <w:right w:w="0" w:type="dxa"/>
        </w:tblCellMar>
      </w:tblPr>
      <w:tr>
        <w:trPr>
          <w:trHeight w:val="235"/>
        </w:trPr>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Against</w:t>
            </w:r>
          </w:p>
        </w:tc>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Abstain</w:t>
            </w:r>
          </w:p>
        </w:tc>
        <w:tc>
          <w:tcPr>
            <w:tcW w:w="24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9"/>
              </w:rPr>
              <w:t>Broker Non-Vote</w:t>
            </w:r>
          </w:p>
        </w:tc>
      </w:tr>
      <w:tr>
        <w:trPr>
          <w:trHeight w:val="223"/>
        </w:trPr>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54,165,252</w:t>
            </w:r>
          </w:p>
        </w:tc>
        <w:tc>
          <w:tcPr>
            <w:tcW w:w="23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25,663,965</w:t>
            </w:r>
          </w:p>
        </w:tc>
        <w:tc>
          <w:tcPr>
            <w:tcW w:w="1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357,696</w:t>
            </w:r>
          </w:p>
        </w:tc>
        <w:tc>
          <w:tcPr>
            <w:tcW w:w="24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22,126,203</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4 - Stockholder Proposal Regarding the Declassification of the Company’s Board of Directors</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stockholders approved the stockholder proposal regarding the declassification of the Company’s board of directors. The results of such vote were as follows:</w:t>
      </w:r>
    </w:p>
    <w:p>
      <w:pPr>
        <w:spacing w:after="0" w:line="220" w:lineRule="exact"/>
        <w:rPr>
          <w:sz w:val="20"/>
          <w:szCs w:val="20"/>
          <w:color w:val="auto"/>
        </w:rPr>
      </w:pPr>
    </w:p>
    <w:tbl>
      <w:tblPr>
        <w:tblLayout w:type="fixed"/>
        <w:tblInd w:w="1160" w:type="dxa"/>
        <w:tblCellMar>
          <w:top w:w="0" w:type="dxa"/>
          <w:left w:w="0" w:type="dxa"/>
          <w:bottom w:w="0" w:type="dxa"/>
          <w:right w:w="0" w:type="dxa"/>
        </w:tblCellMar>
      </w:tblPr>
      <w:tr>
        <w:trPr>
          <w:trHeight w:val="235"/>
        </w:trPr>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Against</w:t>
            </w:r>
          </w:p>
        </w:tc>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Abstain</w:t>
            </w:r>
          </w:p>
        </w:tc>
        <w:tc>
          <w:tcPr>
            <w:tcW w:w="24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9"/>
              </w:rPr>
              <w:t>Broker Non-Vote</w:t>
            </w:r>
          </w:p>
        </w:tc>
      </w:tr>
      <w:tr>
        <w:trPr>
          <w:trHeight w:val="223"/>
        </w:trPr>
        <w:tc>
          <w:tcPr>
            <w:tcW w:w="22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63,264,309</w:t>
            </w:r>
          </w:p>
        </w:tc>
        <w:tc>
          <w:tcPr>
            <w:tcW w:w="23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16,799,228</w:t>
            </w:r>
          </w:p>
        </w:tc>
        <w:tc>
          <w:tcPr>
            <w:tcW w:w="1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123,376</w:t>
            </w:r>
          </w:p>
        </w:tc>
        <w:tc>
          <w:tcPr>
            <w:tcW w:w="24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22,126,203</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5 - Reverse Stock Split Proposal</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stockholders approved an amendment to the Company’s Amended and Restated Certificate of Incorporation to effect a reverse stock split of the Company’s shares of common stock at a ratio in the range from 1-for-5 to 1-for-7, and a proportionate decrease to the number of authorized shares of the Company’s common stock, with the exact ratio to be set within such range at the discretion of the Company’s board of directors without further action by the Company’s stockholders. The results of such vote were as follows:</w:t>
      </w:r>
    </w:p>
    <w:p>
      <w:pPr>
        <w:spacing w:after="0" w:line="244" w:lineRule="exact"/>
        <w:rPr>
          <w:sz w:val="20"/>
          <w:szCs w:val="20"/>
          <w:color w:val="auto"/>
        </w:rPr>
      </w:pPr>
    </w:p>
    <w:tbl>
      <w:tblPr>
        <w:tblLayout w:type="fixed"/>
        <w:tblInd w:w="1160" w:type="dxa"/>
        <w:tblCellMar>
          <w:top w:w="0" w:type="dxa"/>
          <w:left w:w="0" w:type="dxa"/>
          <w:bottom w:w="0" w:type="dxa"/>
          <w:right w:w="0" w:type="dxa"/>
        </w:tblCellMar>
      </w:tblPr>
      <w:tr>
        <w:trPr>
          <w:trHeight w:val="235"/>
        </w:trPr>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Against</w:t>
            </w:r>
          </w:p>
        </w:tc>
        <w:tc>
          <w:tcPr>
            <w:tcW w:w="20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Abstain</w:t>
            </w:r>
          </w:p>
        </w:tc>
        <w:tc>
          <w:tcPr>
            <w:tcW w:w="24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9"/>
              </w:rPr>
              <w:t>Broker Non-Vote</w:t>
            </w:r>
          </w:p>
        </w:tc>
      </w:tr>
      <w:tr>
        <w:trPr>
          <w:trHeight w:val="223"/>
        </w:trPr>
        <w:tc>
          <w:tcPr>
            <w:tcW w:w="22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96,771,265</w:t>
            </w:r>
          </w:p>
        </w:tc>
        <w:tc>
          <w:tcPr>
            <w:tcW w:w="22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5,152,701</w:t>
            </w:r>
          </w:p>
        </w:tc>
        <w:tc>
          <w:tcPr>
            <w:tcW w:w="2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389,150</w:t>
            </w:r>
          </w:p>
        </w:tc>
        <w:tc>
          <w:tcPr>
            <w:tcW w:w="24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60"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OPEN LENDING CORPORATION</w:t>
      </w:r>
    </w:p>
    <w:p>
      <w:pPr>
        <w:spacing w:after="0" w:line="293" w:lineRule="exact"/>
        <w:rPr>
          <w:sz w:val="20"/>
          <w:szCs w:val="20"/>
          <w:color w:val="auto"/>
        </w:rPr>
      </w:pPr>
    </w:p>
    <w:tbl>
      <w:tblPr>
        <w:tblLayout w:type="fixed"/>
        <w:tblInd w:w="5620" w:type="dxa"/>
        <w:tblCellMar>
          <w:top w:w="0" w:type="dxa"/>
          <w:left w:w="0" w:type="dxa"/>
          <w:bottom w:w="0" w:type="dxa"/>
          <w:right w:w="0" w:type="dxa"/>
        </w:tblCellMar>
      </w:tblPr>
      <w:tr>
        <w:trPr>
          <w:trHeight w:val="235"/>
        </w:trPr>
        <w:tc>
          <w:tcPr>
            <w:tcW w:w="17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Ben Massey</w:t>
            </w:r>
          </w:p>
        </w:tc>
      </w:tr>
      <w:tr>
        <w:trPr>
          <w:trHeight w:val="218"/>
        </w:trPr>
        <w:tc>
          <w:tcPr>
            <w:tcW w:w="17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20"/>
              <w:spacing w:after="0"/>
              <w:rPr>
                <w:sz w:val="20"/>
                <w:szCs w:val="20"/>
                <w:color w:val="auto"/>
              </w:rPr>
            </w:pPr>
            <w:r>
              <w:rPr>
                <w:rFonts w:ascii="Arial" w:cs="Arial" w:eastAsia="Arial" w:hAnsi="Arial"/>
                <w:sz w:val="18"/>
                <w:szCs w:val="18"/>
                <w:color w:val="auto"/>
              </w:rPr>
              <w:t>Ben Massey</w:t>
            </w:r>
          </w:p>
        </w:tc>
      </w:tr>
      <w:tr>
        <w:trPr>
          <w:trHeight w:val="239"/>
        </w:trPr>
        <w:tc>
          <w:tcPr>
            <w:tcW w:w="17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20"/>
              <w:spacing w:after="0"/>
              <w:rPr>
                <w:sz w:val="20"/>
                <w:szCs w:val="20"/>
                <w:color w:val="auto"/>
              </w:rPr>
            </w:pPr>
            <w:r>
              <w:rPr>
                <w:rFonts w:ascii="Arial" w:cs="Arial" w:eastAsia="Arial" w:hAnsi="Arial"/>
                <w:sz w:val="18"/>
                <w:szCs w:val="18"/>
                <w:color w:val="auto"/>
              </w:rPr>
              <w:t>General Counsel and Corporate Secretary</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June 4, 2026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2026-06-04T16:39:13Z</dcterms:created>
  <dcterms:modified xsi:type="dcterms:W3CDTF">2026-06-04T16:39:13Z</dcterms:modified>
</cp:coreProperties>
</file>