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1" w:lineRule="exact"/>
        <w:rPr>
          <w:sz w:val="24"/>
          <w:szCs w:val="24"/>
          <w:color w:val="auto"/>
        </w:rPr>
      </w:pPr>
    </w:p>
    <w:p>
      <w:pPr>
        <w:ind w:left="460" w:right="240" w:hanging="434"/>
        <w:spacing w:after="0" w:line="28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2024</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460" w:right="240" w:hanging="434"/>
        <w:spacing w:after="0" w:line="28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5"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128905</wp:posOffset>
            </wp:positionV>
            <wp:extent cx="2143125" cy="334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OPEN LENDING CORPORATION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460" w:type="dxa"/>
        <w:tblCellMar>
          <w:top w:w="0" w:type="dxa"/>
          <w:left w:w="0" w:type="dxa"/>
          <w:bottom w:w="0" w:type="dxa"/>
          <w:right w:w="0" w:type="dxa"/>
        </w:tblCellMar>
      </w:tblPr>
      <w:tr>
        <w:trPr>
          <w:trHeight w:val="247"/>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84-5031428</w:t>
            </w:r>
          </w:p>
        </w:tc>
      </w:tr>
      <w:tr>
        <w:trPr>
          <w:trHeight w:val="208"/>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61"/>
              <w:spacing w:after="0"/>
              <w:rPr>
                <w:sz w:val="20"/>
                <w:szCs w:val="20"/>
                <w:color w:val="auto"/>
              </w:rPr>
            </w:pPr>
            <w:r>
              <w:rPr>
                <w:rFonts w:ascii="Arial" w:cs="Arial" w:eastAsia="Arial" w:hAnsi="Arial"/>
                <w:sz w:val="14"/>
                <w:szCs w:val="14"/>
                <w:b w:val="1"/>
                <w:bCs w:val="1"/>
                <w:color w:val="auto"/>
              </w:rPr>
              <w:t>Identification No.)</w:t>
            </w:r>
          </w:p>
        </w:tc>
      </w:tr>
      <w:tr>
        <w:trPr>
          <w:trHeight w:val="334"/>
        </w:trPr>
        <w:tc>
          <w:tcPr>
            <w:tcW w:w="4500" w:type="dxa"/>
            <w:vAlign w:val="bottom"/>
          </w:tcPr>
          <w:p>
            <w:pPr>
              <w:jc w:val="center"/>
              <w:ind w:right="1718"/>
              <w:spacing w:after="0"/>
              <w:rPr>
                <w:sz w:val="20"/>
                <w:szCs w:val="20"/>
                <w:color w:val="auto"/>
              </w:rPr>
            </w:pPr>
            <w:r>
              <w:rPr>
                <w:rFonts w:ascii="Arial" w:cs="Arial" w:eastAsia="Arial" w:hAnsi="Arial"/>
                <w:sz w:val="18"/>
                <w:szCs w:val="18"/>
                <w:b w:val="1"/>
                <w:bCs w:val="1"/>
                <w:color w:val="auto"/>
                <w:w w:val="99"/>
              </w:rPr>
              <w:t>1501 S. MoPac Expressway</w:t>
            </w:r>
          </w:p>
        </w:tc>
        <w:tc>
          <w:tcPr>
            <w:tcW w:w="3040" w:type="dxa"/>
            <w:vAlign w:val="bottom"/>
          </w:tcPr>
          <w:p>
            <w:pPr>
              <w:spacing w:after="0"/>
              <w:rPr>
                <w:sz w:val="24"/>
                <w:szCs w:val="24"/>
                <w:color w:val="auto"/>
              </w:rPr>
            </w:pPr>
          </w:p>
        </w:tc>
      </w:tr>
      <w:tr>
        <w:trPr>
          <w:trHeight w:val="216"/>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rPr>
              <w:t>Suite 450</w:t>
            </w:r>
          </w:p>
        </w:tc>
        <w:tc>
          <w:tcPr>
            <w:tcW w:w="3040" w:type="dxa"/>
            <w:vAlign w:val="bottom"/>
          </w:tcPr>
          <w:p>
            <w:pPr>
              <w:spacing w:after="0"/>
              <w:rPr>
                <w:sz w:val="18"/>
                <w:szCs w:val="18"/>
                <w:color w:val="auto"/>
              </w:rPr>
            </w:pPr>
          </w:p>
        </w:tc>
      </w:tr>
      <w:tr>
        <w:trPr>
          <w:trHeight w:val="247"/>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9"/>
              </w:rPr>
              <w:t>Austin, Texas</w:t>
            </w:r>
          </w:p>
        </w:tc>
        <w:tc>
          <w:tcPr>
            <w:tcW w:w="3040" w:type="dxa"/>
            <w:vAlign w:val="bottom"/>
          </w:tcPr>
          <w:p>
            <w:pPr>
              <w:jc w:val="right"/>
              <w:ind w:right="281"/>
              <w:spacing w:after="0"/>
              <w:rPr>
                <w:sz w:val="20"/>
                <w:szCs w:val="20"/>
                <w:color w:val="auto"/>
              </w:rPr>
            </w:pPr>
            <w:r>
              <w:rPr>
                <w:rFonts w:ascii="Arial" w:cs="Arial" w:eastAsia="Arial" w:hAnsi="Arial"/>
                <w:sz w:val="18"/>
                <w:szCs w:val="18"/>
                <w:b w:val="1"/>
                <w:bCs w:val="1"/>
                <w:color w:val="auto"/>
              </w:rPr>
              <w:t>78746</w:t>
            </w:r>
          </w:p>
        </w:tc>
      </w:tr>
      <w:tr>
        <w:trPr>
          <w:trHeight w:val="229"/>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61"/>
              <w:spacing w:after="0"/>
              <w:rPr>
                <w:sz w:val="20"/>
                <w:szCs w:val="20"/>
                <w:color w:val="auto"/>
              </w:rPr>
            </w:pPr>
            <w:r>
              <w:rPr>
                <w:rFonts w:ascii="Arial" w:cs="Arial" w:eastAsia="Arial" w:hAnsi="Arial"/>
                <w:sz w:val="14"/>
                <w:szCs w:val="14"/>
                <w:b w:val="1"/>
                <w:bCs w:val="1"/>
                <w:color w:val="auto"/>
              </w:rPr>
              <w:t>(Zip Code)</w:t>
            </w:r>
          </w:p>
        </w:tc>
      </w:tr>
    </w:tbl>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205"/>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7"/>
                <w:szCs w:val="17"/>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55"/>
        </w:trPr>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Common stock, par value $0.01 per share</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LPRO</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266" w:lineRule="exact"/>
        <w:rPr>
          <w:sz w:val="24"/>
          <w:szCs w:val="24"/>
          <w:color w:val="auto"/>
        </w:rPr>
      </w:pPr>
    </w:p>
    <w:p>
      <w:pPr>
        <w:jc w:val="both"/>
        <w:ind w:firstLine="486"/>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0" w:lineRule="exact"/>
        <w:rPr>
          <w:sz w:val="24"/>
          <w:szCs w:val="24"/>
          <w:color w:val="auto"/>
        </w:rPr>
      </w:pPr>
    </w:p>
    <w:p>
      <w:pPr>
        <w:ind w:right="20" w:firstLine="486"/>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50" w:orient="portrait"/>
          <w:cols w:equalWidth="0" w:num="1">
            <w:col w:w="11240"/>
          </w:cols>
          <w:pgMar w:left="320" w:top="1311" w:right="339" w:bottom="0" w:gutter="0" w:footer="0" w:header="0"/>
        </w:sectPr>
      </w:pPr>
    </w:p>
    <w:bookmarkStart w:id="1" w:name="page2"/>
    <w:bookmarkEnd w:id="1"/>
    <w:p>
      <w:pPr>
        <w:spacing w:after="0" w:line="33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7, 2024, the registrant had 119,350,001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1064895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92075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117475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420"/>
          </w:cols>
          <w:pgMar w:left="820" w:top="81"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24"/>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8180" w:type="dxa"/>
            <w:vAlign w:val="bottom"/>
            <w:gridSpan w:val="18"/>
          </w:tcPr>
          <w:p>
            <w:pPr>
              <w:spacing w:after="0"/>
              <w:rPr>
                <w:sz w:val="20"/>
                <w:szCs w:val="20"/>
                <w:color w:val="auto"/>
              </w:rPr>
            </w:pPr>
            <w:r>
              <w:rPr>
                <w:rFonts w:ascii="Arial" w:cs="Arial" w:eastAsia="Arial" w:hAnsi="Arial"/>
                <w:sz w:val="18"/>
                <w:szCs w:val="18"/>
                <w:color w:val="0000FF"/>
              </w:rPr>
              <w:t>Financial Information</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7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Consolidated Financial Statements (Unaudited)</w:t>
            </w:r>
          </w:p>
        </w:tc>
        <w:tc>
          <w:tcPr>
            <w:tcW w:w="3440" w:type="dxa"/>
            <w:vAlign w:val="bottom"/>
            <w:gridSpan w:val="5"/>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Condensed Consolidated Statements of Changes in Stockholders’ Equity</w:t>
            </w:r>
          </w:p>
        </w:tc>
        <w:tc>
          <w:tcPr>
            <w:tcW w:w="2360" w:type="dxa"/>
            <w:vAlign w:val="bottom"/>
            <w:gridSpan w:val="2"/>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Notes to Condensed Consolidated Financial Statements (Unaudited)</w:t>
            </w:r>
          </w:p>
        </w:tc>
        <w:tc>
          <w:tcPr>
            <w:tcW w:w="2720" w:type="dxa"/>
            <w:vAlign w:val="bottom"/>
            <w:gridSpan w:val="3"/>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Controls and Procedures</w:t>
            </w:r>
          </w:p>
        </w:tc>
        <w:tc>
          <w:tcPr>
            <w:tcW w:w="3500" w:type="dxa"/>
            <w:vAlign w:val="bottom"/>
            <w:gridSpan w:val="6"/>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24"/>
                <w:szCs w:val="24"/>
                <w:color w:val="auto"/>
              </w:rPr>
            </w:pPr>
          </w:p>
        </w:tc>
        <w:tc>
          <w:tcPr>
            <w:tcW w:w="6200" w:type="dxa"/>
            <w:vAlign w:val="bottom"/>
            <w:gridSpan w:val="11"/>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18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24"/>
                <w:szCs w:val="24"/>
                <w:color w:val="auto"/>
              </w:rPr>
            </w:pPr>
          </w:p>
        </w:tc>
        <w:tc>
          <w:tcPr>
            <w:tcW w:w="6700" w:type="dxa"/>
            <w:vAlign w:val="bottom"/>
            <w:gridSpan w:val="14"/>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9"/>
              </w:rPr>
              <w:t>Default Upon Senior Securities</w:t>
            </w:r>
          </w:p>
        </w:tc>
        <w:tc>
          <w:tcPr>
            <w:tcW w:w="2380" w:type="dxa"/>
            <w:vAlign w:val="bottom"/>
            <w:tcBorders>
              <w:top w:val="single" w:sz="8" w:color="0000FF"/>
            </w:tcBorders>
            <w:gridSpan w:val="6"/>
          </w:tcPr>
          <w:p>
            <w:pPr>
              <w:spacing w:after="0"/>
              <w:rPr>
                <w:sz w:val="24"/>
                <w:szCs w:val="24"/>
                <w:color w:val="auto"/>
              </w:rPr>
            </w:pPr>
          </w:p>
        </w:tc>
        <w:tc>
          <w:tcPr>
            <w:tcW w:w="3340" w:type="dxa"/>
            <w:vAlign w:val="bottom"/>
            <w:gridSpan w:val="4"/>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180" w:type="dxa"/>
            <w:vAlign w:val="bottom"/>
            <w:gridSpan w:val="18"/>
          </w:tcPr>
          <w:p>
            <w:pPr>
              <w:spacing w:after="0"/>
              <w:rPr>
                <w:sz w:val="20"/>
                <w:szCs w:val="20"/>
                <w:color w:val="auto"/>
              </w:rPr>
            </w:pPr>
            <w:r>
              <w:rPr>
                <w:rFonts w:ascii="Arial" w:cs="Arial" w:eastAsia="Arial" w:hAnsi="Arial"/>
                <w:sz w:val="18"/>
                <w:szCs w:val="18"/>
                <w:color w:val="0000FF"/>
              </w:rPr>
              <w:t>Mine Safety Disclosures</w:t>
            </w: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3"/>
          </w:tcPr>
          <w:p>
            <w:pPr>
              <w:spacing w:after="0"/>
              <w:rPr>
                <w:sz w:val="24"/>
                <w:szCs w:val="24"/>
                <w:color w:val="auto"/>
              </w:rPr>
            </w:pPr>
          </w:p>
        </w:tc>
        <w:tc>
          <w:tcPr>
            <w:tcW w:w="6260" w:type="dxa"/>
            <w:vAlign w:val="bottom"/>
            <w:gridSpan w:val="12"/>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18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297"/>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2024</w:t>
            </w:r>
          </w:p>
        </w:tc>
        <w:tc>
          <w:tcPr>
            <w:tcW w:w="240" w:type="dxa"/>
            <w:vAlign w:val="bottom"/>
          </w:tcPr>
          <w:p>
            <w:pPr>
              <w:spacing w:after="0"/>
              <w:rPr>
                <w:sz w:val="22"/>
                <w:szCs w:val="22"/>
                <w:color w:val="auto"/>
              </w:rPr>
            </w:pPr>
          </w:p>
        </w:tc>
        <w:tc>
          <w:tcPr>
            <w:tcW w:w="206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250,233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240,206</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10,714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6,463</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Current contract assets, net</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17,810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28,704</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CEEFF"/>
          </w:tcPr>
          <w:p>
            <w:pPr>
              <w:spacing w:after="0"/>
              <w:rPr>
                <w:sz w:val="22"/>
                <w:szCs w:val="22"/>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294,728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289,876</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Fixed assets, net</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5,534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 net</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Contract assets</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22,098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 asset, net</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70,113</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3,662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395,707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374,037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Current portion of debt</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Third-party claims administration liability</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22"/>
                <w:szCs w:val="22"/>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31,280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20,590</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Long-term debt, net of deferred financing costs</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134,002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139,357</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6,499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175,244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168,457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outstanding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6520" w:type="dxa"/>
            <w:vAlign w:val="bottom"/>
          </w:tcPr>
          <w:p>
            <w:pPr>
              <w:ind w:left="360"/>
              <w:spacing w:after="0"/>
              <w:rPr>
                <w:sz w:val="20"/>
                <w:szCs w:val="20"/>
                <w:color w:val="auto"/>
              </w:rPr>
            </w:pPr>
            <w:r>
              <w:rPr>
                <w:rFonts w:ascii="Arial" w:cs="Arial" w:eastAsia="Arial" w:hAnsi="Arial"/>
                <w:sz w:val="18"/>
                <w:szCs w:val="18"/>
                <w:color w:val="auto"/>
              </w:rPr>
              <w:t>Common stock, $0.01 par value; 550,000,000 shares authorized,</w:t>
            </w: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360"/>
              <w:spacing w:after="0" w:line="202" w:lineRule="exact"/>
              <w:rPr>
                <w:sz w:val="20"/>
                <w:szCs w:val="20"/>
                <w:color w:val="auto"/>
              </w:rPr>
            </w:pPr>
            <w:r>
              <w:rPr>
                <w:rFonts w:ascii="Arial" w:cs="Arial" w:eastAsia="Arial" w:hAnsi="Arial"/>
                <w:sz w:val="18"/>
                <w:szCs w:val="18"/>
                <w:color w:val="auto"/>
              </w:rPr>
              <w:t>128,198,185 shares issued and 119,255,709 shares outstanding as of</w:t>
            </w: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September 30, 2024 and 128,198,185 shares issued and 118,819,795</w:t>
            </w:r>
          </w:p>
        </w:tc>
        <w:tc>
          <w:tcPr>
            <w:tcW w:w="220" w:type="dxa"/>
            <w:vAlign w:val="bottom"/>
          </w:tcPr>
          <w:p>
            <w:pPr>
              <w:spacing w:after="0"/>
              <w:rPr>
                <w:sz w:val="18"/>
                <w:szCs w:val="18"/>
                <w:color w:val="auto"/>
              </w:rPr>
            </w:pP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44"/>
        </w:trPr>
        <w:tc>
          <w:tcPr>
            <w:tcW w:w="6520" w:type="dxa"/>
            <w:vAlign w:val="bottom"/>
          </w:tcPr>
          <w:p>
            <w:pPr>
              <w:ind w:left="360"/>
              <w:spacing w:after="0"/>
              <w:rPr>
                <w:sz w:val="20"/>
                <w:szCs w:val="20"/>
                <w:color w:val="auto"/>
              </w:rPr>
            </w:pPr>
            <w:r>
              <w:rPr>
                <w:rFonts w:ascii="Arial" w:cs="Arial" w:eastAsia="Arial" w:hAnsi="Arial"/>
                <w:sz w:val="18"/>
                <w:szCs w:val="18"/>
                <w:color w:val="auto"/>
              </w:rPr>
              <w:t>shares outstanding as of December 31, 2023</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501,918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502,032</w:t>
            </w:r>
          </w:p>
        </w:tc>
        <w:tc>
          <w:tcPr>
            <w:tcW w:w="0" w:type="dxa"/>
            <w:vAlign w:val="bottom"/>
          </w:tcPr>
          <w:p>
            <w:pPr>
              <w:spacing w:after="0"/>
              <w:rPr>
                <w:sz w:val="1"/>
                <w:szCs w:val="1"/>
                <w:color w:val="auto"/>
              </w:rPr>
            </w:pPr>
          </w:p>
        </w:tc>
      </w:tr>
      <w:tr>
        <w:trPr>
          <w:trHeight w:val="247"/>
        </w:trPr>
        <w:tc>
          <w:tcPr>
            <w:tcW w:w="65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(184,323)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(193,749)</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8,942,476 shares at September 30, 2024 and</w:t>
            </w: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9,378,390 at December 31, 2023</w:t>
            </w:r>
          </w:p>
        </w:tc>
        <w:tc>
          <w:tcPr>
            <w:tcW w:w="22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(103,985)</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220,463</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205,580</w:t>
            </w:r>
          </w:p>
        </w:tc>
        <w:tc>
          <w:tcPr>
            <w:tcW w:w="0" w:type="dxa"/>
            <w:vAlign w:val="bottom"/>
          </w:tcPr>
          <w:p>
            <w:pPr>
              <w:spacing w:after="0"/>
              <w:rPr>
                <w:sz w:val="1"/>
                <w:szCs w:val="1"/>
                <w:color w:val="auto"/>
              </w:rPr>
            </w:pPr>
          </w:p>
        </w:tc>
      </w:tr>
      <w:tr>
        <w:trPr>
          <w:trHeight w:val="28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395,707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374,037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9"/>
                <w:szCs w:val="19"/>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1"/>
        </w:trPr>
        <w:tc>
          <w:tcPr>
            <w:tcW w:w="50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040" w:type="dxa"/>
            <w:vAlign w:val="bottom"/>
          </w:tcPr>
          <w:p>
            <w:pPr>
              <w:ind w:left="280"/>
              <w:spacing w:after="0"/>
              <w:rPr>
                <w:sz w:val="20"/>
                <w:szCs w:val="20"/>
                <w:color w:val="auto"/>
              </w:rPr>
            </w:pPr>
            <w:r>
              <w:rPr>
                <w:rFonts w:ascii="Arial" w:cs="Arial" w:eastAsia="Arial" w:hAnsi="Arial"/>
                <w:sz w:val="18"/>
                <w:szCs w:val="18"/>
                <w:color w:val="auto"/>
              </w:rPr>
              <w:t>Program fees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14,161</w:t>
            </w:r>
          </w:p>
        </w:tc>
        <w:tc>
          <w:tcPr>
            <w:tcW w:w="1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15,416</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43,306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50,610</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Profit share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44,433</w:t>
            </w:r>
          </w:p>
        </w:tc>
        <w:tc>
          <w:tcPr>
            <w:tcW w:w="0" w:type="dxa"/>
            <w:vAlign w:val="bottom"/>
          </w:tcPr>
          <w:p>
            <w:pPr>
              <w:spacing w:after="0"/>
              <w:rPr>
                <w:sz w:val="1"/>
                <w:szCs w:val="1"/>
                <w:color w:val="auto"/>
              </w:rPr>
            </w:pPr>
          </w:p>
        </w:tc>
      </w:tr>
      <w:tr>
        <w:trPr>
          <w:trHeight w:val="247"/>
        </w:trPr>
        <w:tc>
          <w:tcPr>
            <w:tcW w:w="5040" w:type="dxa"/>
            <w:vAlign w:val="bottom"/>
          </w:tcPr>
          <w:p>
            <w:pPr>
              <w:ind w:left="280"/>
              <w:spacing w:after="0"/>
              <w:rPr>
                <w:sz w:val="20"/>
                <w:szCs w:val="20"/>
                <w:color w:val="auto"/>
              </w:rPr>
            </w:pPr>
            <w:r>
              <w:rPr>
                <w:rFonts w:ascii="Arial" w:cs="Arial" w:eastAsia="Arial" w:hAnsi="Arial"/>
                <w:sz w:val="18"/>
                <w:szCs w:val="18"/>
                <w:color w:val="auto"/>
              </w:rPr>
              <w:t>Claims administration and other service fees</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23,476</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26,006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80,948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102,521</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Cost of services</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16,917</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17,349</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20,637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63,358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85,604</w:t>
            </w:r>
          </w:p>
        </w:tc>
        <w:tc>
          <w:tcPr>
            <w:tcW w:w="0" w:type="dxa"/>
            <w:vAlign w:val="bottom"/>
          </w:tcPr>
          <w:p>
            <w:pPr>
              <w:spacing w:after="0"/>
              <w:rPr>
                <w:sz w:val="1"/>
                <w:szCs w:val="1"/>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31,041</w:t>
            </w:r>
          </w:p>
        </w:tc>
        <w:tc>
          <w:tcPr>
            <w:tcW w:w="0" w:type="dxa"/>
            <w:vAlign w:val="bottom"/>
          </w:tcPr>
          <w:p>
            <w:pPr>
              <w:spacing w:after="0"/>
              <w:rPr>
                <w:sz w:val="1"/>
                <w:szCs w:val="1"/>
                <w:color w:val="auto"/>
              </w:rPr>
            </w:pPr>
          </w:p>
        </w:tc>
      </w:tr>
      <w:tr>
        <w:trPr>
          <w:trHeight w:val="247"/>
        </w:trPr>
        <w:tc>
          <w:tcPr>
            <w:tcW w:w="5040" w:type="dxa"/>
            <w:vAlign w:val="bottom"/>
          </w:tcPr>
          <w:p>
            <w:pPr>
              <w:ind w:left="28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4,897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13,136</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15,483</w:t>
            </w:r>
          </w:p>
        </w:tc>
        <w:tc>
          <w:tcPr>
            <w:tcW w:w="1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16,101</w:t>
            </w: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50,179</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48,252</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1,866</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13,179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37,352</w:t>
            </w:r>
          </w:p>
        </w:tc>
        <w:tc>
          <w:tcPr>
            <w:tcW w:w="0" w:type="dxa"/>
            <w:vAlign w:val="bottom"/>
          </w:tcPr>
          <w:p>
            <w:pPr>
              <w:spacing w:after="0"/>
              <w:rPr>
                <w:sz w:val="1"/>
                <w:szCs w:val="1"/>
                <w:color w:val="auto"/>
              </w:rPr>
            </w:pPr>
          </w:p>
        </w:tc>
      </w:tr>
      <w:tr>
        <w:trPr>
          <w:trHeight w:val="247"/>
        </w:trPr>
        <w:tc>
          <w:tcPr>
            <w:tcW w:w="50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47"/>
        </w:trPr>
        <w:tc>
          <w:tcPr>
            <w:tcW w:w="504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2,125</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13,989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36,819</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1,437</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3,003</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26,912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per common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47"/>
        </w:trPr>
        <w:tc>
          <w:tcPr>
            <w:tcW w:w="5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040" w:type="dxa"/>
            <w:vAlign w:val="bottom"/>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119,252,503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120,217,857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119,128,801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121,318,872</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119,480,577</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121,298,880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119,427,952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122,065,718</w:t>
            </w:r>
          </w:p>
        </w:tc>
        <w:tc>
          <w:tcPr>
            <w:tcW w:w="0" w:type="dxa"/>
            <w:vAlign w:val="bottom"/>
          </w:tcPr>
          <w:p>
            <w:pPr>
              <w:spacing w:after="0"/>
              <w:rPr>
                <w:sz w:val="1"/>
                <w:szCs w:val="1"/>
                <w:color w:val="auto"/>
              </w:rPr>
            </w:pPr>
          </w:p>
        </w:tc>
      </w:tr>
      <w:tr>
        <w:trPr>
          <w:trHeight w:val="23"/>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Additional</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Accumulated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94"/>
        </w:trPr>
        <w:tc>
          <w:tcPr>
            <w:tcW w:w="3140" w:type="dxa"/>
            <w:vAlign w:val="bottom"/>
          </w:tcPr>
          <w:p>
            <w:pPr>
              <w:spacing w:after="0"/>
              <w:rPr>
                <w:sz w:val="8"/>
                <w:szCs w:val="8"/>
                <w:color w:val="auto"/>
              </w:rPr>
            </w:pPr>
          </w:p>
        </w:tc>
        <w:tc>
          <w:tcPr>
            <w:tcW w:w="2100" w:type="dxa"/>
            <w:vAlign w:val="bottom"/>
            <w:gridSpan w:val="5"/>
            <w:vMerge w:val="restart"/>
          </w:tcPr>
          <w:p>
            <w:pPr>
              <w:ind w:left="42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8"/>
                <w:szCs w:val="8"/>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Paid-in</w:t>
            </w:r>
          </w:p>
        </w:tc>
        <w:tc>
          <w:tcPr>
            <w:tcW w:w="1320" w:type="dxa"/>
            <w:vAlign w:val="bottom"/>
            <w:gridSpan w:val="3"/>
            <w:vMerge w:val="continue"/>
          </w:tcPr>
          <w:p>
            <w:pPr>
              <w:spacing w:after="0"/>
              <w:rPr>
                <w:sz w:val="8"/>
                <w:szCs w:val="8"/>
                <w:color w:val="auto"/>
              </w:rPr>
            </w:pPr>
          </w:p>
        </w:tc>
        <w:tc>
          <w:tcPr>
            <w:tcW w:w="2120" w:type="dxa"/>
            <w:vAlign w:val="bottom"/>
            <w:gridSpan w:val="5"/>
            <w:vMerge w:val="restart"/>
          </w:tcPr>
          <w:p>
            <w:pPr>
              <w:ind w:left="440"/>
              <w:spacing w:after="0"/>
              <w:rPr>
                <w:sz w:val="20"/>
                <w:szCs w:val="20"/>
                <w:color w:val="auto"/>
              </w:rPr>
            </w:pPr>
            <w:r>
              <w:rPr>
                <w:rFonts w:ascii="Arial" w:cs="Arial" w:eastAsia="Arial" w:hAnsi="Arial"/>
                <w:sz w:val="16"/>
                <w:szCs w:val="16"/>
                <w:b w:val="1"/>
                <w:bCs w:val="1"/>
                <w:color w:val="auto"/>
              </w:rPr>
              <w:t>Treasury Stock</w:t>
            </w: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Deficit</w:t>
            </w:r>
          </w:p>
        </w:tc>
        <w:tc>
          <w:tcPr>
            <w:tcW w:w="2120" w:type="dxa"/>
            <w:vAlign w:val="bottom"/>
            <w:gridSpan w:val="5"/>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Capital</w:t>
            </w:r>
          </w:p>
        </w:tc>
        <w:tc>
          <w:tcPr>
            <w:tcW w:w="8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12"/>
        </w:trPr>
        <w:tc>
          <w:tcPr>
            <w:tcW w:w="314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rPr>
              <w:t>Amount</w:t>
            </w:r>
          </w:p>
        </w:tc>
        <w:tc>
          <w:tcPr>
            <w:tcW w:w="1040" w:type="dxa"/>
            <w:vAlign w:val="bottom"/>
            <w:gridSpan w:val="2"/>
          </w:tcPr>
          <w:p>
            <w:pPr>
              <w:ind w:left="22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20"/>
                <w:szCs w:val="20"/>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24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502,032</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(193,749)</w:t>
            </w:r>
          </w:p>
        </w:tc>
        <w:tc>
          <w:tcPr>
            <w:tcW w:w="8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(9,378,390)</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(103,985)</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205,580</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21" w:right="359" w:bottom="1440" w:gutter="0" w:footer="0" w:header="0"/>
        </w:sectPr>
      </w:pPr>
    </w:p>
    <w:p>
      <w:pPr>
        <w:ind w:left="20"/>
        <w:spacing w:after="0"/>
        <w:rPr>
          <w:sz w:val="20"/>
          <w:szCs w:val="20"/>
          <w:color w:val="auto"/>
        </w:rPr>
      </w:pPr>
      <w:r>
        <w:rPr>
          <w:rFonts w:ascii="Arial" w:cs="Arial" w:eastAsia="Arial" w:hAnsi="Arial"/>
          <w:sz w:val="16"/>
          <w:szCs w:val="16"/>
          <w:color w:val="auto"/>
        </w:rPr>
        <w:t>Share-based compensation</w:t>
      </w:r>
    </w:p>
    <w:p>
      <w:pPr>
        <w:spacing w:after="0" w:line="59" w:lineRule="exact"/>
        <w:rPr>
          <w:sz w:val="20"/>
          <w:szCs w:val="20"/>
          <w:color w:val="auto"/>
        </w:rPr>
      </w:pPr>
    </w:p>
    <w:p>
      <w:pPr>
        <w:ind w:left="20" w:right="40"/>
        <w:spacing w:after="0" w:line="286" w:lineRule="auto"/>
        <w:rPr>
          <w:sz w:val="20"/>
          <w:szCs w:val="20"/>
          <w:color w:val="auto"/>
        </w:rPr>
      </w:pPr>
      <w:r>
        <w:rPr>
          <w:rFonts w:ascii="Arial" w:cs="Arial" w:eastAsia="Arial" w:hAnsi="Arial"/>
          <w:sz w:val="16"/>
          <w:szCs w:val="16"/>
          <w:color w:val="auto"/>
        </w:rPr>
        <w:t>Restricted stock units issued, net of shares withheld for taxes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March 31, 2024</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73" w:lineRule="exact"/>
        <w:rPr>
          <w:sz w:val="20"/>
          <w:szCs w:val="20"/>
          <w:color w:val="auto"/>
        </w:rPr>
      </w:pPr>
    </w:p>
    <w:p>
      <w:pPr>
        <w:ind w:left="20" w:right="40"/>
        <w:spacing w:after="0" w:line="286" w:lineRule="auto"/>
        <w:rPr>
          <w:sz w:val="20"/>
          <w:szCs w:val="20"/>
          <w:color w:val="auto"/>
        </w:rPr>
      </w:pPr>
      <w:r>
        <w:rPr>
          <w:rFonts w:ascii="Arial" w:cs="Arial" w:eastAsia="Arial" w:hAnsi="Arial"/>
          <w:sz w:val="16"/>
          <w:szCs w:val="16"/>
          <w:color w:val="auto"/>
        </w:rPr>
        <w:t>Restricted stock units issued, net of shares withheld for taxes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June 30, 2024</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73" w:lineRule="exact"/>
        <w:rPr>
          <w:sz w:val="20"/>
          <w:szCs w:val="20"/>
          <w:color w:val="auto"/>
        </w:rPr>
      </w:pPr>
    </w:p>
    <w:p>
      <w:pPr>
        <w:ind w:left="20" w:right="40"/>
        <w:spacing w:after="0" w:line="286" w:lineRule="auto"/>
        <w:rPr>
          <w:sz w:val="20"/>
          <w:szCs w:val="20"/>
          <w:color w:val="auto"/>
        </w:rPr>
      </w:pPr>
      <w:r>
        <w:rPr>
          <w:rFonts w:ascii="Arial" w:cs="Arial" w:eastAsia="Arial" w:hAnsi="Arial"/>
          <w:sz w:val="16"/>
          <w:szCs w:val="16"/>
          <w:color w:val="auto"/>
        </w:rPr>
        <w:t>Restricted stock units issued, net of shares withheld for taxes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1,892</w:t>
            </w:r>
          </w:p>
        </w:tc>
      </w:tr>
      <w:tr>
        <w:trPr>
          <w:trHeight w:val="445"/>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(5,307)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331,366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(1,021)</w:t>
            </w:r>
          </w:p>
        </w:tc>
      </w:tr>
      <w:tr>
        <w:trPr>
          <w:trHeight w:val="252"/>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5,087</w:t>
            </w:r>
          </w:p>
        </w:tc>
        <w:tc>
          <w:tcPr>
            <w:tcW w:w="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5,087</w:t>
            </w:r>
          </w:p>
        </w:tc>
      </w:tr>
      <w:tr>
        <w:trPr>
          <w:trHeight w:val="239"/>
        </w:trPr>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498,617</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(188,662)</w:t>
            </w:r>
          </w:p>
        </w:tc>
        <w:tc>
          <w:tcPr>
            <w:tcW w:w="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(9,047,024)</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(99,699)</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211,538</w:t>
            </w:r>
          </w:p>
        </w:tc>
      </w:tr>
      <w:tr>
        <w:trPr>
          <w:trHeight w:val="225"/>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2,459</w:t>
            </w:r>
          </w:p>
        </w:tc>
      </w:tr>
      <w:tr>
        <w:trPr>
          <w:trHeight w:val="338"/>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100,134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360"/>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2,902</w:t>
            </w:r>
          </w:p>
        </w:tc>
        <w:tc>
          <w:tcPr>
            <w:tcW w:w="8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2,902</w:t>
            </w:r>
          </w:p>
        </w:tc>
      </w:tr>
      <w:tr>
        <w:trPr>
          <w:trHeight w:val="239"/>
        </w:trPr>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499,732</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(185,760)</w:t>
            </w:r>
          </w:p>
        </w:tc>
        <w:tc>
          <w:tcPr>
            <w:tcW w:w="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(8,946,890)</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(98,471)</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216,783</w:t>
            </w:r>
          </w:p>
        </w:tc>
      </w:tr>
      <w:tr>
        <w:trPr>
          <w:trHeight w:val="24"/>
        </w:trPr>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1"/>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2,253</w:t>
            </w:r>
          </w:p>
        </w:tc>
      </w:tr>
      <w:tr>
        <w:trPr>
          <w:trHeight w:val="337"/>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4,414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60"/>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1,437</w:t>
            </w:r>
          </w:p>
        </w:tc>
        <w:tc>
          <w:tcPr>
            <w:tcW w:w="8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1,437</w:t>
            </w:r>
          </w:p>
        </w:tc>
      </w:tr>
      <w:tr>
        <w:trPr>
          <w:trHeight w:val="239"/>
        </w:trPr>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501,918</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(184,323)</w:t>
            </w:r>
          </w:p>
        </w:tc>
        <w:tc>
          <w:tcPr>
            <w:tcW w:w="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(8,942,476)</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(98,414)</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220,463</w:t>
            </w:r>
          </w:p>
        </w:tc>
      </w:tr>
      <w:tr>
        <w:trPr>
          <w:trHeight w:val="24"/>
        </w:trPr>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-2185035</wp:posOffset>
            </wp:positionV>
            <wp:extent cx="7115175"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8257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-1748155</wp:posOffset>
            </wp:positionV>
            <wp:extent cx="711517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-1422400</wp:posOffset>
            </wp:positionV>
            <wp:extent cx="711517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8321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-985520</wp:posOffset>
            </wp:positionV>
            <wp:extent cx="71151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8034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-633730</wp:posOffset>
            </wp:positionV>
            <wp:extent cx="7115175"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28257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-196215</wp:posOffset>
            </wp:positionV>
            <wp:extent cx="711517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520"/>
            <w:col w:w="808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Stockholders’ Equity (continued)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right="400"/>
        <w:spacing w:after="0" w:line="325" w:lineRule="auto"/>
        <w:rPr>
          <w:sz w:val="20"/>
          <w:szCs w:val="20"/>
          <w:color w:val="auto"/>
        </w:rPr>
      </w:pPr>
      <w:r>
        <w:rPr>
          <w:rFonts w:ascii="Arial" w:cs="Arial" w:eastAsia="Arial" w:hAnsi="Arial"/>
          <w:sz w:val="16"/>
          <w:szCs w:val="16"/>
          <w:b w:val="1"/>
          <w:bCs w:val="1"/>
          <w:color w:val="auto"/>
        </w:rPr>
        <w:t xml:space="preserve">Balance as of December 31, 2022 </w:t>
      </w:r>
      <w:r>
        <w:rPr>
          <w:rFonts w:ascii="Arial" w:cs="Arial" w:eastAsia="Arial" w:hAnsi="Arial"/>
          <w:sz w:val="16"/>
          <w:szCs w:val="16"/>
          <w:color w:val="auto"/>
        </w:rPr>
        <w:t>Share-based compensation</w:t>
      </w:r>
    </w:p>
    <w:p>
      <w:pPr>
        <w:spacing w:after="0" w:line="1" w:lineRule="exact"/>
        <w:rPr>
          <w:sz w:val="20"/>
          <w:szCs w:val="20"/>
          <w:color w:val="auto"/>
        </w:rPr>
      </w:pPr>
    </w:p>
    <w:p>
      <w:pPr>
        <w:ind w:left="20" w:right="400"/>
        <w:spacing w:after="0" w:line="286" w:lineRule="auto"/>
        <w:rPr>
          <w:sz w:val="20"/>
          <w:szCs w:val="20"/>
          <w:color w:val="auto"/>
        </w:rPr>
      </w:pPr>
      <w:r>
        <w:rPr>
          <w:rFonts w:ascii="Arial" w:cs="Arial" w:eastAsia="Arial" w:hAnsi="Arial"/>
          <w:sz w:val="16"/>
          <w:szCs w:val="16"/>
          <w:color w:val="auto"/>
        </w:rPr>
        <w:t>Restricted stock units issued, net of shares withheld for taxes</w:t>
      </w:r>
    </w:p>
    <w:p>
      <w:pPr>
        <w:spacing w:after="0" w:line="7" w:lineRule="exact"/>
        <w:rPr>
          <w:sz w:val="20"/>
          <w:szCs w:val="20"/>
          <w:color w:val="auto"/>
        </w:rPr>
      </w:pPr>
    </w:p>
    <w:p>
      <w:pPr>
        <w:ind w:left="20"/>
        <w:spacing w:after="0" w:line="311" w:lineRule="auto"/>
        <w:rPr>
          <w:sz w:val="20"/>
          <w:szCs w:val="20"/>
          <w:color w:val="auto"/>
        </w:rPr>
      </w:pPr>
      <w:r>
        <w:rPr>
          <w:rFonts w:ascii="Arial" w:cs="Arial" w:eastAsia="Arial" w:hAnsi="Arial"/>
          <w:sz w:val="16"/>
          <w:szCs w:val="16"/>
          <w:color w:val="auto"/>
        </w:rPr>
        <w:t>Shares repurchased, including excise tax 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Additional</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Accumulated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95"/>
        </w:trPr>
        <w:tc>
          <w:tcPr>
            <w:tcW w:w="2100" w:type="dxa"/>
            <w:vAlign w:val="bottom"/>
            <w:gridSpan w:val="5"/>
            <w:vMerge w:val="restart"/>
          </w:tcPr>
          <w:p>
            <w:pPr>
              <w:ind w:left="42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8"/>
                <w:szCs w:val="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Paid-in</w:t>
            </w:r>
          </w:p>
        </w:tc>
        <w:tc>
          <w:tcPr>
            <w:tcW w:w="1320" w:type="dxa"/>
            <w:vAlign w:val="bottom"/>
            <w:gridSpan w:val="3"/>
            <w:vMerge w:val="continue"/>
          </w:tcPr>
          <w:p>
            <w:pPr>
              <w:spacing w:after="0"/>
              <w:rPr>
                <w:sz w:val="8"/>
                <w:szCs w:val="8"/>
                <w:color w:val="auto"/>
              </w:rPr>
            </w:pPr>
          </w:p>
        </w:tc>
        <w:tc>
          <w:tcPr>
            <w:tcW w:w="2120" w:type="dxa"/>
            <w:vAlign w:val="bottom"/>
            <w:gridSpan w:val="5"/>
            <w:vMerge w:val="restart"/>
          </w:tcPr>
          <w:p>
            <w:pPr>
              <w:ind w:left="440"/>
              <w:spacing w:after="0"/>
              <w:rPr>
                <w:sz w:val="20"/>
                <w:szCs w:val="20"/>
                <w:color w:val="auto"/>
              </w:rPr>
            </w:pPr>
            <w:r>
              <w:rPr>
                <w:rFonts w:ascii="Arial" w:cs="Arial" w:eastAsia="Arial" w:hAnsi="Arial"/>
                <w:sz w:val="16"/>
                <w:szCs w:val="16"/>
                <w:b w:val="1"/>
                <w:bCs w:val="1"/>
                <w:color w:val="auto"/>
              </w:rPr>
              <w:t>Treasury Stock</w:t>
            </w: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08"/>
        </w:trPr>
        <w:tc>
          <w:tcPr>
            <w:tcW w:w="21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Deficit</w:t>
            </w:r>
          </w:p>
        </w:tc>
        <w:tc>
          <w:tcPr>
            <w:tcW w:w="2120" w:type="dxa"/>
            <w:vAlign w:val="bottom"/>
            <w:gridSpan w:val="5"/>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Capital</w:t>
            </w:r>
          </w:p>
        </w:tc>
        <w:tc>
          <w:tcPr>
            <w:tcW w:w="8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12"/>
        </w:trPr>
        <w:tc>
          <w:tcPr>
            <w:tcW w:w="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06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rPr>
              <w:t>Amount</w:t>
            </w:r>
          </w:p>
        </w:tc>
        <w:tc>
          <w:tcPr>
            <w:tcW w:w="1040" w:type="dxa"/>
            <w:vAlign w:val="bottom"/>
            <w:gridSpan w:val="2"/>
          </w:tcPr>
          <w:p>
            <w:pPr>
              <w:ind w:left="22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20"/>
                <w:szCs w:val="20"/>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236"/>
        </w:trPr>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499,625</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(215,819)</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(4,552,126)</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(72,264)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212,824</w:t>
            </w:r>
          </w:p>
        </w:tc>
        <w:tc>
          <w:tcPr>
            <w:tcW w:w="0" w:type="dxa"/>
            <w:vAlign w:val="bottom"/>
          </w:tcPr>
          <w:p>
            <w:pPr>
              <w:spacing w:after="0"/>
              <w:rPr>
                <w:sz w:val="1"/>
                <w:szCs w:val="1"/>
                <w:color w:val="auto"/>
              </w:rPr>
            </w:pPr>
          </w:p>
        </w:tc>
      </w:tr>
      <w:tr>
        <w:trPr>
          <w:trHeight w:val="235"/>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338"/>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41,148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51"/>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(3,095,334)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(21,528)</w:t>
            </w:r>
          </w:p>
        </w:tc>
        <w:tc>
          <w:tcPr>
            <w:tcW w:w="0" w:type="dxa"/>
            <w:vAlign w:val="bottom"/>
          </w:tcPr>
          <w:p>
            <w:pPr>
              <w:spacing w:after="0"/>
              <w:rPr>
                <w:sz w:val="1"/>
                <w:szCs w:val="1"/>
                <w:color w:val="auto"/>
              </w:rPr>
            </w:pPr>
          </w:p>
        </w:tc>
      </w:tr>
      <w:tr>
        <w:trPr>
          <w:trHeight w:val="243"/>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12,538</w:t>
            </w:r>
          </w:p>
        </w:tc>
        <w:tc>
          <w:tcPr>
            <w:tcW w:w="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-897890</wp:posOffset>
            </wp:positionV>
            <wp:extent cx="711517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-581025</wp:posOffset>
            </wp:positionV>
            <wp:extent cx="7115175"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28321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-144145</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80" w:space="160"/>
            <w:col w:w="808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500,530</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(203,281)</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(7,606,312)</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(92,982)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205,549</w:t>
            </w:r>
          </w:p>
        </w:tc>
        <w:tc>
          <w:tcPr>
            <w:tcW w:w="0" w:type="dxa"/>
            <w:vAlign w:val="bottom"/>
          </w:tcPr>
          <w:p>
            <w:pPr>
              <w:spacing w:after="0"/>
              <w:rPr>
                <w:sz w:val="1"/>
                <w:szCs w:val="1"/>
                <w:color w:val="auto"/>
              </w:rPr>
            </w:pPr>
          </w:p>
        </w:tc>
      </w:tr>
      <w:tr>
        <w:trPr>
          <w:trHeight w:val="240"/>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202"/>
        </w:trPr>
        <w:tc>
          <w:tcPr>
            <w:tcW w:w="3140" w:type="dxa"/>
            <w:vAlign w:val="bottom"/>
          </w:tcPr>
          <w:p>
            <w:pPr>
              <w:ind w:left="20"/>
              <w:spacing w:after="0"/>
              <w:rPr>
                <w:sz w:val="20"/>
                <w:szCs w:val="20"/>
                <w:color w:val="auto"/>
              </w:rPr>
            </w:pPr>
            <w:r>
              <w:rPr>
                <w:rFonts w:ascii="Arial" w:cs="Arial" w:eastAsia="Arial" w:hAnsi="Arial"/>
                <w:sz w:val="16"/>
                <w:szCs w:val="16"/>
                <w:color w:val="auto"/>
              </w:rPr>
              <w:t>Restricted stock units issued, net of</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(1,517)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104,283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20"/>
        </w:trPr>
        <w:tc>
          <w:tcPr>
            <w:tcW w:w="3140" w:type="dxa"/>
            <w:vAlign w:val="bottom"/>
            <w:vMerge w:val="restart"/>
          </w:tcPr>
          <w:p>
            <w:pPr>
              <w:ind w:left="20"/>
              <w:spacing w:after="0"/>
              <w:rPr>
                <w:sz w:val="20"/>
                <w:szCs w:val="20"/>
                <w:color w:val="auto"/>
              </w:rPr>
            </w:pPr>
            <w:r>
              <w:rPr>
                <w:rFonts w:ascii="Arial" w:cs="Arial" w:eastAsia="Arial" w:hAnsi="Arial"/>
                <w:sz w:val="16"/>
                <w:szCs w:val="16"/>
                <w:color w:val="auto"/>
              </w:rPr>
              <w:t>shares withheld for taxes</w:t>
            </w:r>
          </w:p>
        </w:tc>
        <w:tc>
          <w:tcPr>
            <w:tcW w:w="10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1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11,371</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11,371</w:t>
            </w:r>
          </w:p>
        </w:tc>
        <w:tc>
          <w:tcPr>
            <w:tcW w:w="0" w:type="dxa"/>
            <w:vAlign w:val="bottom"/>
          </w:tcPr>
          <w:p>
            <w:pPr>
              <w:spacing w:after="0"/>
              <w:rPr>
                <w:sz w:val="1"/>
                <w:szCs w:val="1"/>
                <w:color w:val="auto"/>
              </w:rPr>
            </w:pPr>
          </w:p>
        </w:tc>
      </w:tr>
      <w:tr>
        <w:trPr>
          <w:trHeight w:val="233"/>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501,374</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(191,910)</w:t>
            </w:r>
          </w:p>
        </w:tc>
        <w:tc>
          <w:tcPr>
            <w:tcW w:w="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(7,502,029)</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(91,596)</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219,150</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ind w:left="20" w:right="400"/>
        <w:spacing w:after="0" w:line="286" w:lineRule="auto"/>
        <w:rPr>
          <w:sz w:val="20"/>
          <w:szCs w:val="20"/>
          <w:color w:val="auto"/>
        </w:rPr>
      </w:pPr>
      <w:r>
        <w:rPr>
          <w:rFonts w:ascii="Arial" w:cs="Arial" w:eastAsia="Arial" w:hAnsi="Arial"/>
          <w:sz w:val="16"/>
          <w:szCs w:val="16"/>
          <w:color w:val="auto"/>
        </w:rPr>
        <w:t>Restricted stock units issued, net of shares withheld for taxes</w:t>
      </w:r>
    </w:p>
    <w:p>
      <w:pPr>
        <w:spacing w:after="0" w:line="7" w:lineRule="exact"/>
        <w:rPr>
          <w:sz w:val="20"/>
          <w:szCs w:val="20"/>
          <w:color w:val="auto"/>
        </w:rPr>
      </w:pPr>
    </w:p>
    <w:p>
      <w:pPr>
        <w:ind w:left="20"/>
        <w:spacing w:after="0" w:line="325" w:lineRule="auto"/>
        <w:rPr>
          <w:sz w:val="20"/>
          <w:szCs w:val="20"/>
          <w:color w:val="auto"/>
        </w:rPr>
      </w:pPr>
      <w:r>
        <w:rPr>
          <w:rFonts w:ascii="Arial" w:cs="Arial" w:eastAsia="Arial" w:hAnsi="Arial"/>
          <w:sz w:val="16"/>
          <w:szCs w:val="16"/>
          <w:color w:val="auto"/>
        </w:rPr>
        <w:t>Shares repurchased, including excise tax 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September 30, 2023</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51"/>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(1,201,593)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(10,107)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(10,107)</w:t>
            </w:r>
          </w:p>
        </w:tc>
      </w:tr>
      <w:tr>
        <w:trPr>
          <w:trHeight w:val="252"/>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3,003</w:t>
            </w:r>
          </w:p>
        </w:tc>
        <w:tc>
          <w:tcPr>
            <w:tcW w:w="8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3,003</w:t>
            </w:r>
          </w:p>
        </w:tc>
      </w:tr>
      <w:tr>
        <w:trPr>
          <w:trHeight w:val="239"/>
        </w:trPr>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503,981</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(188,907)</w:t>
            </w:r>
          </w:p>
        </w:tc>
        <w:tc>
          <w:tcPr>
            <w:tcW w:w="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(8,698,681)</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(101,631)</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214,725</w:t>
            </w:r>
          </w:p>
        </w:tc>
      </w:tr>
      <w:tr>
        <w:trPr>
          <w:trHeight w:val="24"/>
        </w:trPr>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-505460</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-196215</wp:posOffset>
            </wp:positionV>
            <wp:extent cx="711517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160"/>
            <w:col w:w="808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20" w:type="dxa"/>
            <w:vAlign w:val="bottom"/>
          </w:tcPr>
          <w:p>
            <w:pPr>
              <w:spacing w:after="0"/>
              <w:rPr>
                <w:sz w:val="19"/>
                <w:szCs w:val="19"/>
                <w:color w:val="auto"/>
              </w:rPr>
            </w:pPr>
          </w:p>
        </w:tc>
        <w:tc>
          <w:tcPr>
            <w:tcW w:w="396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Nine Months Ended September 30,</w:t>
            </w:r>
          </w:p>
        </w:tc>
        <w:tc>
          <w:tcPr>
            <w:tcW w:w="760" w:type="dxa"/>
            <w:vAlign w:val="bottom"/>
            <w:tcBorders>
              <w:bottom w:val="single" w:sz="8" w:color="auto"/>
            </w:tcBorders>
          </w:tcPr>
          <w:p>
            <w:pPr>
              <w:spacing w:after="0"/>
              <w:rPr>
                <w:sz w:val="19"/>
                <w:szCs w:val="19"/>
                <w:color w:val="auto"/>
              </w:rPr>
            </w:pPr>
          </w:p>
        </w:tc>
      </w:tr>
      <w:tr>
        <w:trPr>
          <w:trHeight w:val="236"/>
        </w:trPr>
        <w:tc>
          <w:tcPr>
            <w:tcW w:w="65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2024</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760" w:type="dxa"/>
            <w:vAlign w:val="bottom"/>
            <w:tcBorders>
              <w:bottom w:val="single" w:sz="8" w:color="auto"/>
            </w:tcBorders>
          </w:tcPr>
          <w:p>
            <w:pPr>
              <w:spacing w:after="0"/>
              <w:rPr>
                <w:sz w:val="20"/>
                <w:szCs w:val="20"/>
                <w:color w:val="auto"/>
              </w:rPr>
            </w:pPr>
          </w:p>
        </w:tc>
      </w:tr>
      <w:tr>
        <w:trPr>
          <w:trHeight w:val="22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5"/>
        </w:trPr>
        <w:tc>
          <w:tcPr>
            <w:tcW w:w="65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5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9,426</w:t>
            </w:r>
          </w:p>
        </w:tc>
        <w:tc>
          <w:tcPr>
            <w:tcW w:w="120" w:type="dxa"/>
            <w:vAlign w:val="bottom"/>
          </w:tcPr>
          <w:p>
            <w:pPr>
              <w:spacing w:after="0"/>
              <w:rPr>
                <w:sz w:val="20"/>
                <w:szCs w:val="20"/>
                <w:color w:val="auto"/>
              </w:rPr>
            </w:pPr>
          </w:p>
        </w:tc>
        <w:tc>
          <w:tcPr>
            <w:tcW w:w="1540" w:type="dxa"/>
            <w:vAlign w:val="bottom"/>
          </w:tcPr>
          <w:p>
            <w:pPr>
              <w:jc w:val="right"/>
              <w:ind w:right="13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26,912</w:t>
            </w:r>
          </w:p>
        </w:tc>
      </w:tr>
      <w:tr>
        <w:trPr>
          <w:trHeight w:val="251"/>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35"/>
        </w:trPr>
        <w:tc>
          <w:tcPr>
            <w:tcW w:w="652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6,408</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6,826</w:t>
            </w:r>
          </w:p>
        </w:tc>
      </w:tr>
      <w:tr>
        <w:trPr>
          <w:trHeight w:val="251"/>
        </w:trPr>
        <w:tc>
          <w:tcPr>
            <w:tcW w:w="6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 of fixed assets</w:t>
            </w:r>
          </w:p>
        </w:tc>
        <w:tc>
          <w:tcPr>
            <w:tcW w:w="1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r>
      <w:tr>
        <w:trPr>
          <w:trHeight w:val="235"/>
        </w:trPr>
        <w:tc>
          <w:tcPr>
            <w:tcW w:w="6520" w:type="dxa"/>
            <w:vAlign w:val="bottom"/>
          </w:tcPr>
          <w:p>
            <w:pPr>
              <w:ind w:left="360"/>
              <w:spacing w:after="0"/>
              <w:rPr>
                <w:sz w:val="20"/>
                <w:szCs w:val="20"/>
                <w:color w:val="auto"/>
              </w:rPr>
            </w:pPr>
            <w:r>
              <w:rPr>
                <w:rFonts w:ascii="Arial" w:cs="Arial" w:eastAsia="Arial" w:hAnsi="Arial"/>
                <w:sz w:val="16"/>
                <w:szCs w:val="16"/>
                <w:color w:val="auto"/>
              </w:rPr>
              <w:t>Amortization of debt issuance costs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319</w:t>
            </w:r>
          </w:p>
        </w:tc>
      </w:tr>
      <w:tr>
        <w:trPr>
          <w:trHeight w:val="251"/>
        </w:trPr>
        <w:tc>
          <w:tcPr>
            <w:tcW w:w="6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operating lease cost</w:t>
            </w:r>
          </w:p>
        </w:tc>
        <w:tc>
          <w:tcPr>
            <w:tcW w:w="1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r>
      <w:tr>
        <w:trPr>
          <w:trHeight w:val="235"/>
        </w:trPr>
        <w:tc>
          <w:tcPr>
            <w:tcW w:w="652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4,499</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251"/>
        </w:trPr>
        <w:tc>
          <w:tcPr>
            <w:tcW w:w="6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5"/>
        </w:trPr>
        <w:tc>
          <w:tcPr>
            <w:tcW w:w="6520" w:type="dxa"/>
            <w:vAlign w:val="bottom"/>
          </w:tcPr>
          <w:p>
            <w:pPr>
              <w:ind w:left="20"/>
              <w:spacing w:after="0"/>
              <w:rPr>
                <w:sz w:val="20"/>
                <w:szCs w:val="20"/>
                <w:color w:val="auto"/>
              </w:rPr>
            </w:pPr>
            <w:r>
              <w:rPr>
                <w:rFonts w:ascii="Arial" w:cs="Arial" w:eastAsia="Arial" w:hAnsi="Arial"/>
                <w:sz w:val="16"/>
                <w:szCs w:val="16"/>
                <w:color w:val="auto"/>
              </w:rPr>
              <w:t>Changes in assets &amp; liabilities:</w:t>
            </w:r>
          </w:p>
        </w:tc>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1"/>
        </w:trPr>
        <w:tc>
          <w:tcPr>
            <w:tcW w:w="6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1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r>
      <w:tr>
        <w:trPr>
          <w:trHeight w:val="235"/>
        </w:trPr>
        <w:tc>
          <w:tcPr>
            <w:tcW w:w="6520" w:type="dxa"/>
            <w:vAlign w:val="bottom"/>
          </w:tcPr>
          <w:p>
            <w:pPr>
              <w:ind w:left="360"/>
              <w:spacing w:after="0"/>
              <w:rPr>
                <w:sz w:val="20"/>
                <w:szCs w:val="20"/>
                <w:color w:val="auto"/>
              </w:rPr>
            </w:pPr>
            <w:r>
              <w:rPr>
                <w:rFonts w:ascii="Arial" w:cs="Arial" w:eastAsia="Arial" w:hAnsi="Arial"/>
                <w:sz w:val="16"/>
                <w:szCs w:val="16"/>
                <w:color w:val="auto"/>
              </w:rPr>
              <w:t>Contract assets, net</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(10,594)</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26,199</w:t>
            </w:r>
          </w:p>
        </w:tc>
      </w:tr>
      <w:tr>
        <w:trPr>
          <w:trHeight w:val="251"/>
        </w:trPr>
        <w:tc>
          <w:tcPr>
            <w:tcW w:w="6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assets</w:t>
            </w:r>
          </w:p>
        </w:tc>
        <w:tc>
          <w:tcPr>
            <w:tcW w:w="1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r>
      <w:tr>
        <w:trPr>
          <w:trHeight w:val="235"/>
        </w:trPr>
        <w:tc>
          <w:tcPr>
            <w:tcW w:w="652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51"/>
        </w:trPr>
        <w:tc>
          <w:tcPr>
            <w:tcW w:w="6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1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w:t>
            </w:r>
          </w:p>
        </w:tc>
      </w:tr>
      <w:tr>
        <w:trPr>
          <w:trHeight w:val="235"/>
        </w:trPr>
        <w:tc>
          <w:tcPr>
            <w:tcW w:w="6520" w:type="dxa"/>
            <w:vAlign w:val="bottom"/>
          </w:tcPr>
          <w:p>
            <w:pPr>
              <w:ind w:left="360"/>
              <w:spacing w:after="0"/>
              <w:rPr>
                <w:sz w:val="20"/>
                <w:szCs w:val="20"/>
                <w:color w:val="auto"/>
              </w:rPr>
            </w:pPr>
            <w:r>
              <w:rPr>
                <w:rFonts w:ascii="Arial" w:cs="Arial" w:eastAsia="Arial" w:hAnsi="Arial"/>
                <w:sz w:val="16"/>
                <w:szCs w:val="16"/>
                <w:color w:val="auto"/>
              </w:rPr>
              <w:t>Income tax receivable, net</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881</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251"/>
        </w:trPr>
        <w:tc>
          <w:tcPr>
            <w:tcW w:w="6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r>
      <w:tr>
        <w:trPr>
          <w:trHeight w:val="235"/>
        </w:trPr>
        <w:tc>
          <w:tcPr>
            <w:tcW w:w="6520" w:type="dxa"/>
            <w:vAlign w:val="bottom"/>
          </w:tcPr>
          <w:p>
            <w:pPr>
              <w:ind w:left="360"/>
              <w:spacing w:after="0"/>
              <w:rPr>
                <w:sz w:val="20"/>
                <w:szCs w:val="20"/>
                <w:color w:val="auto"/>
              </w:rPr>
            </w:pPr>
            <w:r>
              <w:rPr>
                <w:rFonts w:ascii="Arial" w:cs="Arial" w:eastAsia="Arial" w:hAnsi="Arial"/>
                <w:sz w:val="16"/>
                <w:szCs w:val="16"/>
                <w:color w:val="auto"/>
              </w:rPr>
              <w:t>Third-party claims administration liability</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4,286</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1,749</w:t>
            </w:r>
          </w:p>
        </w:tc>
      </w:tr>
      <w:tr>
        <w:trPr>
          <w:trHeight w:val="244"/>
        </w:trPr>
        <w:tc>
          <w:tcPr>
            <w:tcW w:w="6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15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2,838</w:t>
            </w:r>
          </w:p>
        </w:tc>
        <w:tc>
          <w:tcPr>
            <w:tcW w:w="12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300" w:type="dxa"/>
            <w:vAlign w:val="bottom"/>
          </w:tcPr>
          <w:p>
            <w:pPr>
              <w:jc w:val="right"/>
              <w:spacing w:after="0"/>
              <w:rPr>
                <w:sz w:val="20"/>
                <w:szCs w:val="20"/>
                <w:color w:val="auto"/>
              </w:rPr>
            </w:pPr>
            <w:r>
              <w:rPr>
                <w:rFonts w:ascii="Arial" w:cs="Arial" w:eastAsia="Arial" w:hAnsi="Arial"/>
                <w:sz w:val="16"/>
                <w:szCs w:val="16"/>
                <w:b w:val="1"/>
                <w:bCs w:val="1"/>
                <w:color w:val="auto"/>
              </w:rPr>
              <w:t>20,976</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6"/>
                <w:szCs w:val="16"/>
                <w:b w:val="1"/>
                <w:bCs w:val="1"/>
                <w:color w:val="auto"/>
              </w:rPr>
              <w:t>65,903</w:t>
            </w:r>
          </w:p>
        </w:tc>
      </w:tr>
      <w:tr>
        <w:trPr>
          <w:trHeight w:val="24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r>
      <w:tr>
        <w:trPr>
          <w:trHeight w:val="235"/>
        </w:trPr>
        <w:tc>
          <w:tcPr>
            <w:tcW w:w="6520" w:type="dxa"/>
            <w:vAlign w:val="bottom"/>
          </w:tcPr>
          <w:p>
            <w:pPr>
              <w:ind w:left="360"/>
              <w:spacing w:after="0"/>
              <w:rPr>
                <w:sz w:val="20"/>
                <w:szCs w:val="20"/>
                <w:color w:val="auto"/>
              </w:rPr>
            </w:pPr>
            <w:r>
              <w:rPr>
                <w:rFonts w:ascii="Arial" w:cs="Arial" w:eastAsia="Arial" w:hAnsi="Arial"/>
                <w:sz w:val="16"/>
                <w:szCs w:val="16"/>
                <w:color w:val="auto"/>
              </w:rPr>
              <w:t>Purchase of property and equipment</w:t>
            </w:r>
          </w:p>
        </w:tc>
        <w:tc>
          <w:tcPr>
            <w:tcW w:w="230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44"/>
        </w:trPr>
        <w:tc>
          <w:tcPr>
            <w:tcW w:w="6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Capitalized software development costs</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20" w:type="dxa"/>
            <w:vAlign w:val="bottom"/>
            <w:shd w:val="clear" w:color="auto" w:fill="CCEEFF"/>
          </w:tcPr>
          <w:p>
            <w:pPr>
              <w:spacing w:after="0"/>
              <w:rPr>
                <w:sz w:val="21"/>
                <w:szCs w:val="21"/>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8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(2,738)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(1,588)</w:t>
            </w:r>
          </w:p>
        </w:tc>
      </w:tr>
      <w:tr>
        <w:trPr>
          <w:trHeight w:val="24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8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5"/>
        </w:trPr>
        <w:tc>
          <w:tcPr>
            <w:tcW w:w="6520" w:type="dxa"/>
            <w:vAlign w:val="bottom"/>
          </w:tcPr>
          <w:p>
            <w:pPr>
              <w:ind w:left="360"/>
              <w:spacing w:after="0"/>
              <w:rPr>
                <w:sz w:val="20"/>
                <w:szCs w:val="20"/>
                <w:color w:val="auto"/>
              </w:rPr>
            </w:pPr>
            <w:r>
              <w:rPr>
                <w:rFonts w:ascii="Arial" w:cs="Arial" w:eastAsia="Arial" w:hAnsi="Arial"/>
                <w:sz w:val="16"/>
                <w:szCs w:val="16"/>
                <w:color w:val="auto"/>
              </w:rPr>
              <w:t>Payments on term loans</w:t>
            </w:r>
          </w:p>
        </w:tc>
        <w:tc>
          <w:tcPr>
            <w:tcW w:w="8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(2,813)</w:t>
            </w:r>
          </w:p>
        </w:tc>
      </w:tr>
      <w:tr>
        <w:trPr>
          <w:trHeight w:val="251"/>
        </w:trPr>
        <w:tc>
          <w:tcPr>
            <w:tcW w:w="6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8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(31,322)</w:t>
            </w:r>
          </w:p>
        </w:tc>
      </w:tr>
      <w:tr>
        <w:trPr>
          <w:trHeight w:val="236"/>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Shares withheld for taxes related to restricted stock units</w:t>
            </w:r>
          </w:p>
        </w:tc>
        <w:tc>
          <w:tcPr>
            <w:tcW w:w="8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8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(3,960)</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(34,423)</w:t>
            </w:r>
          </w:p>
        </w:tc>
      </w:tr>
      <w:tr>
        <w:trPr>
          <w:trHeight w:val="229"/>
        </w:trPr>
        <w:tc>
          <w:tcPr>
            <w:tcW w:w="65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 and restricted cash</w:t>
            </w:r>
          </w:p>
        </w:tc>
        <w:tc>
          <w:tcPr>
            <w:tcW w:w="8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14,278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29,892</w:t>
            </w:r>
          </w:p>
        </w:tc>
      </w:tr>
      <w:tr>
        <w:trPr>
          <w:trHeight w:val="251"/>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the beginning of the period</w:t>
            </w:r>
          </w:p>
        </w:tc>
        <w:tc>
          <w:tcPr>
            <w:tcW w:w="8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246,669</w:t>
            </w:r>
          </w:p>
        </w:tc>
        <w:tc>
          <w:tcPr>
            <w:tcW w:w="12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208,519</w:t>
            </w:r>
          </w:p>
        </w:tc>
      </w:tr>
      <w:tr>
        <w:trPr>
          <w:trHeight w:val="233"/>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end of the period</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260,947</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238,411</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4"/>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5"/>
        </w:trPr>
        <w:tc>
          <w:tcPr>
            <w:tcW w:w="6520" w:type="dxa"/>
            <w:vAlign w:val="bottom"/>
          </w:tcPr>
          <w:p>
            <w:pPr>
              <w:ind w:left="240"/>
              <w:spacing w:after="0"/>
              <w:rPr>
                <w:sz w:val="20"/>
                <w:szCs w:val="20"/>
                <w:color w:val="auto"/>
              </w:rPr>
            </w:pPr>
            <w:r>
              <w:rPr>
                <w:rFonts w:ascii="Arial" w:cs="Arial" w:eastAsia="Arial" w:hAnsi="Arial"/>
                <w:sz w:val="16"/>
                <w:szCs w:val="16"/>
                <w:color w:val="auto"/>
              </w:rPr>
              <w:t>Interest paid</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7,981</w:t>
            </w:r>
          </w:p>
        </w:tc>
        <w:tc>
          <w:tcPr>
            <w:tcW w:w="120" w:type="dxa"/>
            <w:vAlign w:val="bottom"/>
          </w:tcPr>
          <w:p>
            <w:pPr>
              <w:spacing w:after="0"/>
              <w:rPr>
                <w:sz w:val="20"/>
                <w:szCs w:val="20"/>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7,593</w:t>
            </w:r>
          </w:p>
        </w:tc>
      </w:tr>
      <w:tr>
        <w:trPr>
          <w:trHeight w:val="251"/>
        </w:trPr>
        <w:tc>
          <w:tcPr>
            <w:tcW w:w="6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paid (refunded), net</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9,008</w:t>
            </w:r>
          </w:p>
        </w:tc>
      </w:tr>
      <w:tr>
        <w:trPr>
          <w:trHeight w:val="235"/>
        </w:trPr>
        <w:tc>
          <w:tcPr>
            <w:tcW w:w="6520" w:type="dxa"/>
            <w:vAlign w:val="bottom"/>
          </w:tcPr>
          <w:p>
            <w:pPr>
              <w:ind w:left="240"/>
              <w:spacing w:after="0"/>
              <w:rPr>
                <w:sz w:val="20"/>
                <w:szCs w:val="20"/>
                <w:color w:val="auto"/>
              </w:rPr>
            </w:pPr>
            <w:r>
              <w:rPr>
                <w:rFonts w:ascii="Arial" w:cs="Arial" w:eastAsia="Arial" w:hAnsi="Arial"/>
                <w:sz w:val="16"/>
                <w:szCs w:val="16"/>
                <w:color w:val="auto"/>
              </w:rPr>
              <w:t>Right-of-use assets obtained in exchange for lease obligations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0"/>
                <w:szCs w:val="20"/>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6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9"/>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w:t>
            </w:r>
          </w:p>
        </w:tc>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7"/>
        </w:trPr>
        <w:tc>
          <w:tcPr>
            <w:tcW w:w="6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assets accrued but not paid</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5"/>
        </w:trPr>
        <w:tc>
          <w:tcPr>
            <w:tcW w:w="6520" w:type="dxa"/>
            <w:vAlign w:val="bottom"/>
          </w:tcPr>
          <w:p>
            <w:pPr>
              <w:ind w:left="240"/>
              <w:spacing w:after="0"/>
              <w:rPr>
                <w:sz w:val="20"/>
                <w:szCs w:val="20"/>
                <w:color w:val="auto"/>
              </w:rPr>
            </w:pPr>
            <w:r>
              <w:rPr>
                <w:rFonts w:ascii="Arial" w:cs="Arial" w:eastAsia="Arial" w:hAnsi="Arial"/>
                <w:sz w:val="16"/>
                <w:szCs w:val="16"/>
                <w:color w:val="auto"/>
              </w:rPr>
              <w:t>Share-based compensation for capitalized software development</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51"/>
        </w:trPr>
        <w:tc>
          <w:tcPr>
            <w:tcW w:w="6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Capitalized software development costs accrued but not paid</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28"/>
        </w:trPr>
        <w:tc>
          <w:tcPr>
            <w:tcW w:w="6520" w:type="dxa"/>
            <w:vAlign w:val="bottom"/>
          </w:tcPr>
          <w:p>
            <w:pPr>
              <w:ind w:left="240"/>
              <w:spacing w:after="0"/>
              <w:rPr>
                <w:sz w:val="20"/>
                <w:szCs w:val="20"/>
                <w:color w:val="auto"/>
              </w:rPr>
            </w:pPr>
            <w:r>
              <w:rPr>
                <w:rFonts w:ascii="Arial" w:cs="Arial" w:eastAsia="Arial" w:hAnsi="Arial"/>
                <w:sz w:val="16"/>
                <w:szCs w:val="16"/>
                <w:color w:val="auto"/>
              </w:rPr>
              <w:t>Accrued excise tax associated with share repurchases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290</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Background and Nature of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Open Lending Corporation (either individually or together with its subsidiaries, as the context requires, the “Company”), headquartered in Austin, Texas, provides loan analytics, risk-based loan pricing, risk modeling and automated decision technology for automotive lenders throughout the United States of America (the “U.S.”), which enables each lending institution to book near-prime and non-prime automotive loans, coupled with real-time underwriting of loan default insurance, out of their existing business flow. The Company also operates as a third-party administrator that adjudicates insurance claims and premium adjustments on automotive loans.</w:t>
      </w:r>
    </w:p>
    <w:p>
      <w:pPr>
        <w:spacing w:after="0" w:line="6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Company’s flagship product, Lenders Protection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platform (“LPP”), is a cloud-based automotive lending enablement platform. LPP supports loans made to near-prime and non-prime borrowers and is designed to underwrite default insurance by linking automotive lenders to our insurance partners. The platform uses risk-based pricing models that enable automotive lenders to assess the credit risk of a potential borrower using data driven analysis. The Company’s proprietary risk models project loan performance, including expected losses and prepayments in arriving at the optimal contract interest rate. LPP recommends a risk-based, all-inclusive interest rate for a loan that is customized to each automotive lender, reflecting cost of capital, loan servicing and acquisition costs, expected recovery rates and target return on assets.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Unless the context otherwise requires, “we,” “us,” “our,” “Open Lending,” and the “Company” refers to Open Lending Corporation, the combined company and its subsidiaries.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evaluated how it is organized and managed and has identified one operating segment. All of the Company’s operations and assets are in the U.S., and all of its revenues are attributable to U.S. customers.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and Reporting Policies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and include the accounts of Open Lending and all its subsidiaries that are directly or indirectly owned or controlled by the Company. All intercompany transactions and balances have been eliminated upon consolidation. Certain prior year amounts have been reclassified to conform to the Company’s current presentation. Such reclassifications had no effect on the Company’s previously reported net income, earnings per share, cash flows or accumulated deficit.</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information and footnote disclosures normally included in annual financial statements prepared in accordance with GAAP have been omitted from these unaudited condensed consolidated financial statements, as permitted by Securities and Exchange Commission (“SEC”) rules and regulations. The Company believes the disclosures made in these unaudited condensed consolidated financial statements are adequate to make the information herein not misleading. The Company recommends that these unaudited condensed consolidated financial statements be read in conjunction with its audited consolidated financial statements and related notes thereto included in the Company’s Annual Report on Form 10-K for the year ended December 31, 2023 (the “Annual Report”).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interim data includes all adjustments that are of a normal recurring nature, in the opinion of the Company’s management, necessary for a fair statement of the results for the interim periods presented. The results of operations for the three and nine months ended September 30, 2024 are not necessarily indicative of the Company’s operating results for the entire fiscal year ending December 31, 2024.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Concentrations of revenue and credit risks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largest insurance carrier partner accounted for 35% of the Company’s total revenue during the three and nine months ended September 30, 2024. The Company’s largest insurance carrier partners accounted for 29% and 10% of the Company's total revenue during the three months ended September 30, 2023 and 32% and 11% during the nine months ended September 30, 2023.</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Financial instruments that potentially subject the Company to credit risk consist of cash and cash equivalents, restricted cash, accounts receivable and contract assets to the extent of the amounts recorded on the balance sheets.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and cash equivalents are deposited in commercial analysis accounts, money market funds and U.S. Treasury securities at financial institutions with high credit standing. Restricted cash relates to funds held by the Company on behalf of the insurance partners, designated for the use of insurance claim payments. Restricted cash is deposited in commercial analysis accounts at one financial institution. At times, such deposits may be in excess of the Federal Deposit Insurance Corporation insurance limits of $250,000 per institution. The Company has not experienced any losses on its deposits of cash and cash equivalents and management believes the Company is not exposed to significant risks on such accounts.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accounts receivable and contract assets are derived from revenue earned from customers. The Company maintains an allowance for expected credit losses, which represents an estimate based primarily on market implied lifetime probabilities of default and loss severities for assets with similar risk characteristics. As these inputs are derived from market observations, they inherently include forward-looking expectations about macro-economic conditions. The allowance is evaluated quarterly by the Company for adequacy by taking into consideration factors such as reasonableness of the market implied loss statistics, historical lifetime loss data and credit quality of the customer base. Provisions for the allowance for expected credit losses attributable to bad debt are recorded as general and administrative expenses. Account balances deemed uncollectible are written off, net of actual recoveries. If circumstances related to specific customers change, the Company’s estimate of the recoverability of its contract assets could be further adjusted. The Company does not have any material accounts receivable or contract assets receivable balances that are past due and has not written off any balances in its portfolio for the periods presented. The allowance for expected credit losses on accounts receivable and contract assets receivable, in the aggregate, was less than $0.1 million at September 30, 2024 and December 31, 2023.</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September 30, 2024 and December 31, 2023, the Company had one customer that represented at least 10% of the Company’s accounts receivable, net.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estimates and judgments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unaudited condensed consolidated financial statements in conformity with GAAP requires management to make estimates and assumptions that affect the reported amounts in the unaudited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most significant items subject to such estimates and assumptions include, but are not limited to, profit share revenue recognition and the corresponding impact on contract assets and assessing the realizability of deferred tax assets. The Company bases its estimates on historical trends and relevant assumptions that it believes to be reasonable under the circumstances. Accordingly, actual results could be materially different from those estimates.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profit share revenue recognition and the estimation of contract assets, the Company uses a forecast model to estimate variable consideration based on undiscounted expected future profit share to be received from the insurance partners. The forecast model projects loan-level earned premiums and insurance claim payments driven by projections of prepayment rate, loan default rate and severity of loss. These assumptions are derived from an analysis of the historical performance of the active loan portfolio, prevailing default and prepayment trends, and macroeconomic projections. Estimates of variable consideration generated by the forecast model are constrained to the extent that it is probable that a significant reversal of revenue will not occur in future periods.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continually assesses the default and prepayment assumptions of the forecast model against reported performance and lender delinquency data. The forecast model is updated to consider the actual prepayment rate, default, and severity experience with macroeconomic conditions.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Recently issued but not yet adopted accounting pronouncements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financial statements. Early adoption is permitted. The Company believes this ASU will have no impact on its consolidated financial statements, but will result in additional disclosures.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believes this ASU will have no impact on its consolidated financial statements, but may result in additional disclosures.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there may be new accounting pronouncements issued or proposed by the FASB, which the Company has adopted or may adopt, as applicable, the Company believes none of these accounting pronouncements has materially impacted or will materially impact the Company’s consolidated financial position or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3—Contract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the Company’s contract assets primarily result from the timing difference between the satisfaction of its performance obligation and receipt of the customer’s payment. The Company fulfills its obligation under a contract with a customer by transferring services in exchange for consideration from the customer. The Company recognizes contract assets when it transfers services to a customer, recognizes revenue for amounts not yet billed and the right to consideration is conditional on something other than the passage of time. Accounts receivable are recorded when the customer has been billed or the right to consideration is unconditional.</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performance obligations related to profit share revenue that were satisfied in previous periods, the Company evaluates and updates its profit share revenue forecast on a quarterly basis and adjusts contract assets accordingly. During the three and nine months ended September 30, 2024, contract asset adjustments attributable to profit share revenue forecast revisions resulted in decreases of $7.0 million and $14.8 million, respectively, as compared to decreases of $8.1 million and $8.5 million, respectively, during the three and nine months ended September 30, 2023.</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balances for the periods indicated below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3"/>
          </w:tcPr>
          <w:p>
            <w:pPr>
              <w:jc w:val="center"/>
              <w:ind w:left="451"/>
              <w:spacing w:after="0"/>
              <w:rPr>
                <w:sz w:val="20"/>
                <w:szCs w:val="20"/>
                <w:color w:val="auto"/>
              </w:rPr>
            </w:pPr>
            <w:r>
              <w:rPr>
                <w:rFonts w:ascii="Arial" w:cs="Arial" w:eastAsia="Arial" w:hAnsi="Arial"/>
                <w:sz w:val="18"/>
                <w:szCs w:val="18"/>
                <w:b w:val="1"/>
                <w:bCs w:val="1"/>
                <w:color w:val="auto"/>
                <w:w w:val="99"/>
              </w:rPr>
              <w:t>Contract Assets</w:t>
            </w: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24"/>
        </w:trPr>
        <w:tc>
          <w:tcPr>
            <w:tcW w:w="5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8"/>
              </w:rPr>
              <w:t>Claims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Profit</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Program</w:t>
            </w:r>
          </w:p>
        </w:tc>
        <w:tc>
          <w:tcPr>
            <w:tcW w:w="1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Administration and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5"/>
        </w:trPr>
        <w:tc>
          <w:tcPr>
            <w:tcW w:w="50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7"/>
              </w:rPr>
              <w:t>Fees</w:t>
            </w:r>
          </w:p>
        </w:tc>
        <w:tc>
          <w:tcPr>
            <w:tcW w:w="18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9"/>
              </w:rPr>
              <w:t>Other Service Fees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43"/>
        </w:trPr>
        <w:tc>
          <w:tcPr>
            <w:tcW w:w="5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40" w:type="dxa"/>
            <w:vAlign w:val="bottom"/>
            <w:gridSpan w:val="3"/>
            <w:shd w:val="clear" w:color="auto" w:fill="CCEEFF"/>
          </w:tcPr>
          <w:p>
            <w:pPr>
              <w:jc w:val="center"/>
              <w:ind w:left="451"/>
              <w:spacing w:after="0"/>
              <w:rPr>
                <w:sz w:val="20"/>
                <w:szCs w:val="20"/>
                <w:color w:val="auto"/>
              </w:rPr>
            </w:pPr>
            <w:r>
              <w:rPr>
                <w:rFonts w:ascii="Arial" w:cs="Arial" w:eastAsia="Arial" w:hAnsi="Arial"/>
                <w:sz w:val="16"/>
                <w:szCs w:val="16"/>
                <w:i w:val="1"/>
                <w:iCs w:val="1"/>
                <w:color w:val="auto"/>
              </w:rPr>
              <w:t>(in thousands)</w:t>
            </w: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3"/>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December 31, 2023</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22,855</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4,738</w:t>
            </w:r>
          </w:p>
        </w:tc>
        <w:tc>
          <w:tcPr>
            <w:tcW w:w="80" w:type="dxa"/>
            <w:vAlign w:val="bottom"/>
          </w:tcPr>
          <w:p>
            <w:pPr>
              <w:spacing w:after="0"/>
              <w:rPr>
                <w:sz w:val="22"/>
                <w:szCs w:val="22"/>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1,721</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29,314</w:t>
            </w:r>
          </w:p>
        </w:tc>
      </w:tr>
      <w:tr>
        <w:trPr>
          <w:trHeight w:val="258"/>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Increase of contract assets due to new business generation</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43,377</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95,783</w:t>
            </w:r>
          </w:p>
        </w:tc>
      </w:tr>
      <w:tr>
        <w:trPr>
          <w:trHeight w:val="222"/>
        </w:trPr>
        <w:tc>
          <w:tcPr>
            <w:tcW w:w="5060" w:type="dxa"/>
            <w:vAlign w:val="bottom"/>
          </w:tcPr>
          <w:p>
            <w:pPr>
              <w:ind w:left="140"/>
              <w:spacing w:after="0"/>
              <w:rPr>
                <w:sz w:val="20"/>
                <w:szCs w:val="20"/>
                <w:color w:val="auto"/>
              </w:rPr>
            </w:pPr>
            <w:r>
              <w:rPr>
                <w:rFonts w:ascii="Arial" w:cs="Arial" w:eastAsia="Arial" w:hAnsi="Arial"/>
                <w:sz w:val="18"/>
                <w:szCs w:val="18"/>
                <w:color w:val="auto"/>
              </w:rPr>
              <w:t>Change in estimates of revenue from performance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4"/>
        </w:trPr>
        <w:tc>
          <w:tcPr>
            <w:tcW w:w="5060" w:type="dxa"/>
            <w:vAlign w:val="bottom"/>
          </w:tcPr>
          <w:p>
            <w:pPr>
              <w:ind w:left="140"/>
              <w:spacing w:after="0"/>
              <w:rPr>
                <w:sz w:val="20"/>
                <w:szCs w:val="20"/>
                <w:color w:val="auto"/>
              </w:rPr>
            </w:pPr>
            <w:r>
              <w:rPr>
                <w:rFonts w:ascii="Arial" w:cs="Arial" w:eastAsia="Arial" w:hAnsi="Arial"/>
                <w:sz w:val="18"/>
                <w:szCs w:val="18"/>
                <w:color w:val="auto"/>
              </w:rPr>
              <w:t>obligations satisfied in previous periods</w:t>
            </w:r>
            <w:r>
              <w:rPr>
                <w:rFonts w:ascii="Arial" w:cs="Arial" w:eastAsia="Arial" w:hAnsi="Arial"/>
                <w:sz w:val="23"/>
                <w:szCs w:val="23"/>
                <w:color w:val="auto"/>
                <w:vertAlign w:val="superscript"/>
              </w:rPr>
              <w:t>(1)</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(14,764)</w:t>
            </w:r>
          </w:p>
        </w:tc>
      </w:tr>
      <w:tr>
        <w:trPr>
          <w:trHeight w:val="250"/>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Payables (receivables) transferred from contract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(44,666)</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(41,020)</w:t>
            </w:r>
          </w:p>
        </w:tc>
      </w:tr>
      <w:tr>
        <w:trPr>
          <w:trHeight w:val="247"/>
        </w:trPr>
        <w:tc>
          <w:tcPr>
            <w:tcW w:w="5060" w:type="dxa"/>
            <w:vAlign w:val="bottom"/>
          </w:tcPr>
          <w:p>
            <w:pPr>
              <w:ind w:left="140"/>
              <w:spacing w:after="0"/>
              <w:rPr>
                <w:sz w:val="20"/>
                <w:szCs w:val="20"/>
                <w:color w:val="auto"/>
              </w:rPr>
            </w:pPr>
            <w:r>
              <w:rPr>
                <w:rFonts w:ascii="Arial" w:cs="Arial" w:eastAsia="Arial" w:hAnsi="Arial"/>
                <w:sz w:val="18"/>
                <w:szCs w:val="18"/>
                <w:color w:val="auto"/>
              </w:rPr>
              <w:t>Payments received from insurance carriers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(29,375)</w:t>
            </w:r>
          </w:p>
        </w:tc>
      </w:tr>
      <w:tr>
        <w:trPr>
          <w:trHeight w:val="23"/>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Provision for expected credit losses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September 30, 2024</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34,694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3,454</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39,908</w:t>
            </w:r>
          </w:p>
        </w:tc>
      </w:tr>
      <w:tr>
        <w:trPr>
          <w:trHeight w:val="21"/>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94"/>
        </w:trPr>
        <w:tc>
          <w:tcPr>
            <w:tcW w:w="5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left="451"/>
              <w:spacing w:after="0"/>
              <w:rPr>
                <w:sz w:val="20"/>
                <w:szCs w:val="20"/>
                <w:color w:val="auto"/>
              </w:rPr>
            </w:pPr>
            <w:r>
              <w:rPr>
                <w:rFonts w:ascii="Arial" w:cs="Arial" w:eastAsia="Arial" w:hAnsi="Arial"/>
                <w:sz w:val="18"/>
                <w:szCs w:val="18"/>
                <w:b w:val="1"/>
                <w:bCs w:val="1"/>
                <w:color w:val="auto"/>
                <w:w w:val="99"/>
              </w:rPr>
              <w:t>Contract Assets</w:t>
            </w: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4"/>
        </w:trPr>
        <w:tc>
          <w:tcPr>
            <w:tcW w:w="5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8"/>
              </w:rPr>
              <w:t>Claims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Profit</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Program</w:t>
            </w:r>
          </w:p>
        </w:tc>
        <w:tc>
          <w:tcPr>
            <w:tcW w:w="1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Administration and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5"/>
        </w:trPr>
        <w:tc>
          <w:tcPr>
            <w:tcW w:w="50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7"/>
              </w:rPr>
              <w:t>Fees</w:t>
            </w:r>
          </w:p>
        </w:tc>
        <w:tc>
          <w:tcPr>
            <w:tcW w:w="18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9"/>
              </w:rPr>
              <w:t>Other Service Fees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43"/>
        </w:trPr>
        <w:tc>
          <w:tcPr>
            <w:tcW w:w="5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40" w:type="dxa"/>
            <w:vAlign w:val="bottom"/>
            <w:gridSpan w:val="3"/>
            <w:shd w:val="clear" w:color="auto" w:fill="CCEEFF"/>
          </w:tcPr>
          <w:p>
            <w:pPr>
              <w:jc w:val="center"/>
              <w:ind w:left="451"/>
              <w:spacing w:after="0"/>
              <w:rPr>
                <w:sz w:val="20"/>
                <w:szCs w:val="20"/>
                <w:color w:val="auto"/>
              </w:rPr>
            </w:pPr>
            <w:r>
              <w:rPr>
                <w:rFonts w:ascii="Arial" w:cs="Arial" w:eastAsia="Arial" w:hAnsi="Arial"/>
                <w:sz w:val="16"/>
                <w:szCs w:val="16"/>
                <w:i w:val="1"/>
                <w:iCs w:val="1"/>
                <w:color w:val="auto"/>
              </w:rPr>
              <w:t>(in thousands)</w:t>
            </w: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3"/>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June 30, 2024</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27,900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3,629</w:t>
            </w:r>
          </w:p>
        </w:tc>
        <w:tc>
          <w:tcPr>
            <w:tcW w:w="80" w:type="dxa"/>
            <w:vAlign w:val="bottom"/>
          </w:tcPr>
          <w:p>
            <w:pPr>
              <w:spacing w:after="0"/>
              <w:rPr>
                <w:sz w:val="22"/>
                <w:szCs w:val="22"/>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2,202</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33,731</w:t>
            </w:r>
          </w:p>
        </w:tc>
      </w:tr>
      <w:tr>
        <w:trPr>
          <w:trHeight w:val="258"/>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Increase of contract assets due to new business generation</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14,192</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30,467</w:t>
            </w:r>
          </w:p>
        </w:tc>
      </w:tr>
      <w:tr>
        <w:trPr>
          <w:trHeight w:val="222"/>
        </w:trPr>
        <w:tc>
          <w:tcPr>
            <w:tcW w:w="5060" w:type="dxa"/>
            <w:vAlign w:val="bottom"/>
          </w:tcPr>
          <w:p>
            <w:pPr>
              <w:ind w:left="140"/>
              <w:spacing w:after="0"/>
              <w:rPr>
                <w:sz w:val="20"/>
                <w:szCs w:val="20"/>
                <w:color w:val="auto"/>
              </w:rPr>
            </w:pPr>
            <w:r>
              <w:rPr>
                <w:rFonts w:ascii="Arial" w:cs="Arial" w:eastAsia="Arial" w:hAnsi="Arial"/>
                <w:sz w:val="18"/>
                <w:szCs w:val="18"/>
                <w:color w:val="auto"/>
              </w:rPr>
              <w:t>Change in estimates of revenue from performance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4"/>
        </w:trPr>
        <w:tc>
          <w:tcPr>
            <w:tcW w:w="5060" w:type="dxa"/>
            <w:vAlign w:val="bottom"/>
          </w:tcPr>
          <w:p>
            <w:pPr>
              <w:ind w:left="140"/>
              <w:spacing w:after="0"/>
              <w:rPr>
                <w:sz w:val="20"/>
                <w:szCs w:val="20"/>
                <w:color w:val="auto"/>
              </w:rPr>
            </w:pPr>
            <w:r>
              <w:rPr>
                <w:rFonts w:ascii="Arial" w:cs="Arial" w:eastAsia="Arial" w:hAnsi="Arial"/>
                <w:sz w:val="18"/>
                <w:szCs w:val="18"/>
                <w:color w:val="auto"/>
              </w:rPr>
              <w:t>obligations satisfied in previous periods</w:t>
            </w:r>
            <w:r>
              <w:rPr>
                <w:rFonts w:ascii="Arial" w:cs="Arial" w:eastAsia="Arial" w:hAnsi="Arial"/>
                <w:sz w:val="23"/>
                <w:szCs w:val="23"/>
                <w:color w:val="auto"/>
                <w:vertAlign w:val="superscript"/>
              </w:rPr>
              <w:t>(1)</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(6,960)</w:t>
            </w:r>
          </w:p>
        </w:tc>
      </w:tr>
      <w:tr>
        <w:trPr>
          <w:trHeight w:val="250"/>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Payables (receivables) transferred from contract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(14,367)</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(11,399)</w:t>
            </w:r>
          </w:p>
        </w:tc>
      </w:tr>
      <w:tr>
        <w:trPr>
          <w:trHeight w:val="247"/>
        </w:trPr>
        <w:tc>
          <w:tcPr>
            <w:tcW w:w="5060" w:type="dxa"/>
            <w:vAlign w:val="bottom"/>
          </w:tcPr>
          <w:p>
            <w:pPr>
              <w:ind w:left="140"/>
              <w:spacing w:after="0"/>
              <w:rPr>
                <w:sz w:val="20"/>
                <w:szCs w:val="20"/>
                <w:color w:val="auto"/>
              </w:rPr>
            </w:pPr>
            <w:r>
              <w:rPr>
                <w:rFonts w:ascii="Arial" w:cs="Arial" w:eastAsia="Arial" w:hAnsi="Arial"/>
                <w:sz w:val="18"/>
                <w:szCs w:val="18"/>
                <w:color w:val="auto"/>
              </w:rPr>
              <w:t>Payments received from insurance carriers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(5,917)</w:t>
            </w:r>
          </w:p>
        </w:tc>
      </w:tr>
      <w:tr>
        <w:trPr>
          <w:trHeight w:val="23"/>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Provision for expected credit losses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September 30, 2024</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34,694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3,454</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39,908</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(1) Includes $(3.0) million of estimated, non-recurring charges associated with future claim payments and previous profit share receipts.</w:t>
      </w:r>
    </w:p>
    <w:p>
      <w:pPr>
        <w:spacing w:after="0" w:line="2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2024 and December 31, 2023, the portion of the Company’s contract assets estimated to be received within one year consisted of $17.8 million and $28.7 million, respectively, and the portion estimated to be received beyond one year consisted of $22.1 million and $0.6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fulfillment costs associated with the Company’s contracts with customers do not meet the criteria for capitalization and therefore are expensed as incurred.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520" w:type="dxa"/>
            <w:vAlign w:val="bottom"/>
          </w:tcPr>
          <w:p>
            <w:pPr>
              <w:spacing w:after="0"/>
              <w:rPr>
                <w:sz w:val="20"/>
                <w:szCs w:val="20"/>
                <w:color w:val="auto"/>
              </w:rPr>
            </w:pPr>
            <w:r>
              <w:rPr>
                <w:rFonts w:ascii="Arial" w:cs="Arial" w:eastAsia="Arial" w:hAnsi="Arial"/>
                <w:sz w:val="18"/>
                <w:szCs w:val="18"/>
                <w:b w:val="1"/>
                <w:bCs w:val="1"/>
                <w:color w:val="auto"/>
              </w:rPr>
              <w:t>Note 4—Long-term Debt</w:t>
            </w:r>
          </w:p>
        </w:tc>
        <w:tc>
          <w:tcPr>
            <w:tcW w:w="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316"/>
        </w:trPr>
        <w:tc>
          <w:tcPr>
            <w:tcW w:w="8940" w:type="dxa"/>
            <w:vAlign w:val="bottom"/>
            <w:gridSpan w:val="4"/>
          </w:tcPr>
          <w:p>
            <w:pPr>
              <w:spacing w:after="0"/>
              <w:rPr>
                <w:sz w:val="20"/>
                <w:szCs w:val="20"/>
                <w:color w:val="auto"/>
              </w:rPr>
            </w:pPr>
            <w:r>
              <w:rPr>
                <w:rFonts w:ascii="Arial" w:cs="Arial" w:eastAsia="Arial" w:hAnsi="Arial"/>
                <w:sz w:val="18"/>
                <w:szCs w:val="18"/>
                <w:color w:val="auto"/>
              </w:rPr>
              <w:t>The following table provides a summary of the Company’s debt as of the periods indicated:</w:t>
            </w: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81"/>
        </w:trPr>
        <w:tc>
          <w:tcPr>
            <w:tcW w:w="65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September 30, 2024</w:t>
            </w: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December 31, 2023</w:t>
            </w:r>
          </w:p>
        </w:tc>
      </w:tr>
      <w:tr>
        <w:trPr>
          <w:trHeight w:val="243"/>
        </w:trPr>
        <w:tc>
          <w:tcPr>
            <w:tcW w:w="6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500" w:type="dxa"/>
            <w:vAlign w:val="bottom"/>
            <w:gridSpan w:val="4"/>
            <w:shd w:val="clear" w:color="auto" w:fill="CCEEFF"/>
          </w:tcPr>
          <w:p>
            <w:pPr>
              <w:jc w:val="right"/>
              <w:ind w:right="1750"/>
              <w:spacing w:after="0"/>
              <w:rPr>
                <w:sz w:val="20"/>
                <w:szCs w:val="20"/>
                <w:color w:val="auto"/>
              </w:rPr>
            </w:pPr>
            <w:r>
              <w:rPr>
                <w:rFonts w:ascii="Arial" w:cs="Arial" w:eastAsia="Arial" w:hAnsi="Arial"/>
                <w:sz w:val="16"/>
                <w:szCs w:val="16"/>
                <w:i w:val="1"/>
                <w:iCs w:val="1"/>
                <w:color w:val="auto"/>
              </w:rPr>
              <w:t>(in thousands)</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Term Loan due 2027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142,500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145,313</w:t>
            </w:r>
          </w:p>
        </w:tc>
      </w:tr>
      <w:tr>
        <w:trPr>
          <w:trHeight w:val="2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Less: Unamortized deferred financing costs</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3"/>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144,045</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Less: current portion of debt</w:t>
            </w: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(4,688)</w:t>
            </w:r>
          </w:p>
        </w:tc>
      </w:tr>
      <w:tr>
        <w:trPr>
          <w:trHeight w:val="23"/>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8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 net of deferred financing costs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134,002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139,357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Agreement—Term Loan due 2027 and Revolving Credit Facility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9, 2022, the Company entered into a First Amendment to its existing Credit Agreement (the “First Amendment”) with Wells Fargo Bank, N.A., as the administrative agent, and the financial institutions party thereto, as the lenders. The First Amendment provided the Company senior secured credit facilities in an aggregate principal amount of $300 million, which (i) established a term loan due 2027 with a principal amount of $150 million (the “Term Loan due 2027”), and (ii) increased the borrowing capacity on the existing revolving credit facility to $150 million (the “Revolving Credit Facility”), both scheduled to mature on September 9, 2027 (collectively, the “Credit Agreement”).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Company used proceeds from the Term Loan due 2027 to pay off all outstanding amounts under its prior credit agreement and pay transaction costs related to the First Amendment. The remaining proceeds were used for working capital and other general corporate purposes. The transaction was treated as a debt modification under ASC Topic 470-50, </w:t>
      </w:r>
      <w:r>
        <w:rPr>
          <w:rFonts w:ascii="Arial" w:cs="Arial" w:eastAsia="Arial" w:hAnsi="Arial"/>
          <w:sz w:val="18"/>
          <w:szCs w:val="18"/>
          <w:i w:val="1"/>
          <w:iCs w:val="1"/>
          <w:color w:val="auto"/>
        </w:rPr>
        <w:t>Debt — Modifications and Extinguishments</w:t>
      </w:r>
      <w:r>
        <w:rPr>
          <w:rFonts w:ascii="Arial" w:cs="Arial" w:eastAsia="Arial" w:hAnsi="Arial"/>
          <w:sz w:val="18"/>
          <w:szCs w:val="18"/>
          <w:color w:val="auto"/>
        </w:rPr>
        <w: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obligations of the Company under the Credit Agreement are guaranteed by all of the Company’s U.S. subsidiaries and are secured by substantially all of the assets of the Company and its U.S. subsidiaries, subject to customary exceptions.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Borrowings under the Credit Agreement bear interest at a rate equal to either (i) an Alternate Base rate (“ABR”) or (ii) the term Secured Overnight Financing Rate (“SOFR”) plus 0.10% (“Adjusted SOFR”) plus a spread that is based upon the Company’s total net leverage ratio. The spread ranges from 0.625% to 1.375% per annum for ABR loans and 1.625% to 2.375% per annum for Adjusted SOFR loans. With respect to the ABR loans, interest will be payable at the end of each calendar quarter. With respect to the Adjusted SOFR loans, interest will be payable at the end of the selected interest period (at least quarterly). Additionally, there is an unused commitment fee payable at the end of each quarter at a rate per annum ranging from 0.15% to 0.225% based on the average daily unused portion of the Revolving Credit Facility and other customary letter of credit fees. Pursuant to the Credit Agreement, the interest rate spread and commitment fees increase or decrease in increments as the Company’s Funded Secured Debt/EBITDA ratio increases or decreases.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2024, the Credit Agreement was subject to an Adjusted SOFR rate of 5.348% plus a spread of 2.375% per annum. Commitment fees were accrued at 0.225% under the Revolving Credit Facility’s unused commitment balance of $150 million as of September 30, 2024. As of September 30, 2024, the effective interest rate on the Company’s outstanding borrowings was 7.968%.</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the Credit Agreement, the Company incurred aggregate deferred financing costs of $2.6 million, of which (i) $2.1 million was allocated to the related term loans and capitalized as a contra-liability against the principal balance of the term loans, and (ii) $0.5 million was allocated to the Revolving Credit Facility and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the unaudited Condensed Consolidated Balance Sheets. These deferred financing costs are amortized as interest expense using the effective interest method over the term of the Credit Agreement. Unamortized deferred financing costs related to the Term Loan due 2027 and the Revolving Credit Facility were $1.0 million and $0.2 million, respectively, as of September 30, 2024.</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Credit Agreement contains a maximum total net leverage ratio financial covenant and a minimum fixed charge coverage ratio financial covenant, which are tested quarterly. The maximum total net leverage ratio is 3.0:1 and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minimum fixed charge coverage ratio is 1.25:1. As of September 30, 2024, the Company was in compliance with all required covenants under the Credit Agreement.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5—Income Taxes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three months ended September 30, 2024 and 2023, the Company recognized income tax expense of $0.7 million and $1.5 million, respectively, resulting in effective tax rates of 32.4% and 33.8%, respectively. During the nine months ended September 30, 2024 and 2023, the Company recognized income tax expense of $4.6 million and $9.9 million, respectively, resulting in effective tax rates of 32.6% and 26.9%, respectively. The Company’s income tax expense for the three and nine months ended September 30, 2024 and 2023 differs from amounts computed by applying the U.S. federal statutory tax rate of 21% primarily due to state income tax expenses, and the officer’s compensation limitation under Section 162(m). The decrease in effective tax rates for the three and nine months ended September 30, 2024 compared to the same periods in 2023 is primarily due to decreased income before income taxes.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2024, the Company has assessed whether it is more likely than not that the Company’s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September 30, 2024.</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2024, the Company has a receivable of $ 3.3 million related to a state income tax refund claim filed for a prior tax year. The liability for unrecognized tax benefits includes $3.8 million of tax expense associated with these refund claims and tax uncertainties in various state jurisdictions due to the complexity of applying evolving state tax laws and uncertainties with respect to sustaining the Company’s refund claims. The Company believes it is not reasonably possible that the unrecognized tax benefits will significantly change during the next twelve months.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Income per Share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income per share is computed based on the weighted average number of shares of common stock outstanding during the period. Diluted net income per share is computed based on the weighted average number of common shares outstanding plus the effect of potentially dilutive common shares outstanding during the period using the applicable methods. The potentially dilutive common shares during the three and nine months ended September 30, 2024 and 2023 include unvested and unexercised stock options, unvested time-based restricted stock units and unvested performance-based restricted stock units whose performance conditions have been satisfied. The potentially dilutive common shares during the same periods did not include performance-based restricted stock units if the performance conditions of these awards have not been satisfied. The potentially dilutive common shares are included in the calculation of diluted net income per share only when their effect is dilutive.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for the three and nine months ended September 30, 2024 and 2023:</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September</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5"/>
              </w:rPr>
              <w:t>30,</w:t>
            </w:r>
          </w:p>
        </w:tc>
        <w:tc>
          <w:tcPr>
            <w:tcW w:w="12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0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20" w:type="dxa"/>
            <w:vAlign w:val="bottom"/>
            <w:gridSpan w:val="10"/>
            <w:shd w:val="clear" w:color="auto" w:fill="CCEEFF"/>
          </w:tcPr>
          <w:p>
            <w:pPr>
              <w:jc w:val="right"/>
              <w:ind w:right="30"/>
              <w:spacing w:after="0"/>
              <w:rPr>
                <w:sz w:val="20"/>
                <w:szCs w:val="20"/>
                <w:color w:val="auto"/>
              </w:rPr>
            </w:pPr>
            <w:r>
              <w:rPr>
                <w:rFonts w:ascii="Arial" w:cs="Arial" w:eastAsia="Arial" w:hAnsi="Arial"/>
                <w:sz w:val="16"/>
                <w:szCs w:val="16"/>
                <w:i w:val="1"/>
                <w:iCs w:val="1"/>
                <w:color w:val="auto"/>
              </w:rPr>
              <w:t>(in thousands, except shares and per share data)</w:t>
            </w: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4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Basic net income per share:</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3"/>
          </w:tcPr>
          <w:p>
            <w:pPr>
              <w:ind w:left="480"/>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1,437</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3,003</w:t>
            </w:r>
          </w:p>
        </w:tc>
        <w:tc>
          <w:tcPr>
            <w:tcW w:w="1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9,426</w:t>
            </w:r>
          </w:p>
        </w:tc>
        <w:tc>
          <w:tcPr>
            <w:tcW w:w="14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26,912</w:t>
            </w:r>
          </w:p>
        </w:tc>
        <w:tc>
          <w:tcPr>
            <w:tcW w:w="0" w:type="dxa"/>
            <w:vAlign w:val="bottom"/>
          </w:tcPr>
          <w:p>
            <w:pPr>
              <w:spacing w:after="0"/>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5020" w:type="dxa"/>
            <w:vAlign w:val="bottom"/>
            <w:tcBorders>
              <w:bottom w:val="single" w:sz="8" w:color="CCEEFF"/>
            </w:tcBorders>
            <w:gridSpan w:val="3"/>
          </w:tcPr>
          <w:p>
            <w:pPr>
              <w:ind w:left="48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119,252,503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120,217,857</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119,128,801</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121,318,872</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share attributable to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4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0.22</w:t>
            </w: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w:t>
            </w:r>
          </w:p>
        </w:tc>
        <w:tc>
          <w:tcPr>
            <w:tcW w:w="120" w:type="dxa"/>
            <w:vAlign w:val="bottom"/>
            <w:vMerge w:val="continue"/>
            <w:shd w:val="clear" w:color="auto" w:fill="CCEEFF"/>
          </w:tcPr>
          <w:p>
            <w:pPr>
              <w:spacing w:after="0"/>
              <w:rPr>
                <w:sz w:val="22"/>
                <w:szCs w:val="22"/>
                <w:color w:val="auto"/>
              </w:rPr>
            </w:pPr>
          </w:p>
        </w:tc>
        <w:tc>
          <w:tcPr>
            <w:tcW w:w="1240" w:type="dxa"/>
            <w:vAlign w:val="bottom"/>
            <w:vMerge w:val="continue"/>
            <w:shd w:val="clear" w:color="auto" w:fill="CCEEFF"/>
          </w:tcPr>
          <w:p>
            <w:pPr>
              <w:spacing w:after="0"/>
              <w:rPr>
                <w:sz w:val="22"/>
                <w:szCs w:val="22"/>
                <w:color w:val="auto"/>
              </w:rPr>
            </w:pPr>
          </w:p>
        </w:tc>
        <w:tc>
          <w:tcPr>
            <w:tcW w:w="440" w:type="dxa"/>
            <w:vAlign w:val="bottom"/>
            <w:gridSpan w:val="3"/>
            <w:vMerge w:val="continue"/>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11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4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Borders>
              <w:top w:val="single" w:sz="8" w:color="CCEEFF"/>
            </w:tcBorders>
          </w:tcPr>
          <w:p>
            <w:pPr>
              <w:spacing w:after="0"/>
              <w:rPr>
                <w:sz w:val="22"/>
                <w:szCs w:val="22"/>
                <w:color w:val="auto"/>
              </w:rPr>
            </w:pPr>
          </w:p>
        </w:tc>
        <w:tc>
          <w:tcPr>
            <w:tcW w:w="25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Numerator</w:t>
            </w:r>
          </w:p>
        </w:tc>
        <w:tc>
          <w:tcPr>
            <w:tcW w:w="25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2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2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1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2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50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Net income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3,003</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9,426</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26,912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gridSpan w:val="3"/>
          </w:tcPr>
          <w:p>
            <w:pPr>
              <w:ind w:left="16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02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Basic weighted average common shares outstanding</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119,252,503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120,217,857</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119,128,801</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121,318,872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3"/>
          </w:tcPr>
          <w:p>
            <w:pPr>
              <w:ind w:left="480"/>
              <w:spacing w:after="0"/>
              <w:rPr>
                <w:sz w:val="20"/>
                <w:szCs w:val="20"/>
                <w:color w:val="auto"/>
              </w:rPr>
            </w:pPr>
            <w:r>
              <w:rPr>
                <w:rFonts w:ascii="Arial" w:cs="Arial" w:eastAsia="Arial" w:hAnsi="Arial"/>
                <w:sz w:val="18"/>
                <w:szCs w:val="18"/>
                <w:color w:val="auto"/>
              </w:rPr>
              <w:t>Dilutive effect of time-based and performance-based</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20" w:type="dxa"/>
            <w:vAlign w:val="bottom"/>
            <w:gridSpan w:val="3"/>
          </w:tcPr>
          <w:p>
            <w:pPr>
              <w:ind w:left="480"/>
              <w:spacing w:after="0"/>
              <w:rPr>
                <w:sz w:val="20"/>
                <w:szCs w:val="20"/>
                <w:color w:val="auto"/>
              </w:rPr>
            </w:pPr>
            <w:r>
              <w:rPr>
                <w:rFonts w:ascii="Arial" w:cs="Arial" w:eastAsia="Arial" w:hAnsi="Arial"/>
                <w:sz w:val="18"/>
                <w:szCs w:val="18"/>
                <w:color w:val="auto"/>
              </w:rPr>
              <w:t>restricted stock units outstanding</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228,074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1,081,023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299,151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746,846</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Diluted weighted average common shares outstanding</w:t>
            </w: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119,480,577</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121,298,880</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119,427,952</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122,065,718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20" w:type="dxa"/>
            <w:vAlign w:val="bottom"/>
            <w:gridSpan w:val="3"/>
          </w:tcPr>
          <w:p>
            <w:pPr>
              <w:ind w:left="160"/>
              <w:spacing w:after="0" w:line="204" w:lineRule="exact"/>
              <w:rPr>
                <w:sz w:val="20"/>
                <w:szCs w:val="20"/>
                <w:color w:val="auto"/>
              </w:rPr>
            </w:pPr>
            <w:r>
              <w:rPr>
                <w:rFonts w:ascii="Arial" w:cs="Arial" w:eastAsia="Arial" w:hAnsi="Arial"/>
                <w:sz w:val="18"/>
                <w:szCs w:val="18"/>
                <w:b w:val="1"/>
                <w:bCs w:val="1"/>
                <w:color w:val="auto"/>
              </w:rPr>
              <w:t>Diluted net income per share attributable to common</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0.01</w:t>
            </w:r>
          </w:p>
        </w:tc>
        <w:tc>
          <w:tcPr>
            <w:tcW w:w="44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0.02</w:t>
            </w:r>
          </w:p>
        </w:tc>
        <w:tc>
          <w:tcPr>
            <w:tcW w:w="140" w:type="dxa"/>
            <w:vAlign w:val="bottom"/>
          </w:tcPr>
          <w:p>
            <w:pPr>
              <w:spacing w:after="0"/>
              <w:rPr>
                <w:sz w:val="17"/>
                <w:szCs w:val="17"/>
                <w:color w:val="auto"/>
              </w:rPr>
            </w:pPr>
          </w:p>
        </w:tc>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0.08</w:t>
            </w:r>
          </w:p>
        </w:tc>
        <w:tc>
          <w:tcPr>
            <w:tcW w:w="140" w:type="dxa"/>
            <w:vAlign w:val="bottom"/>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0.22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020" w:type="dxa"/>
            <w:vAlign w:val="bottom"/>
            <w:gridSpan w:val="3"/>
          </w:tcPr>
          <w:p>
            <w:pPr>
              <w:ind w:left="160"/>
              <w:spacing w:after="0"/>
              <w:rPr>
                <w:sz w:val="20"/>
                <w:szCs w:val="20"/>
                <w:color w:val="auto"/>
              </w:rPr>
            </w:pPr>
            <w:r>
              <w:rPr>
                <w:rFonts w:ascii="Arial" w:cs="Arial" w:eastAsia="Arial" w:hAnsi="Arial"/>
                <w:sz w:val="18"/>
                <w:szCs w:val="18"/>
                <w:b w:val="1"/>
                <w:bCs w:val="1"/>
                <w:color w:val="auto"/>
              </w:rPr>
              <w:t>stockholders</w:t>
            </w:r>
          </w:p>
        </w:tc>
        <w:tc>
          <w:tcPr>
            <w:tcW w:w="12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440" w:type="dxa"/>
            <w:vAlign w:val="bottom"/>
            <w:gridSpan w:val="3"/>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potentially dilutive outstanding securities as of September 30, 2024 and 2023 were excluded from the computation of diluted net income per share because their effect would have been anti-dilutive for the periods presented, or issuance of such shares is contingent upon the satisfaction of certain conditions that were not satisfied by the end of the periods: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31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September</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5"/>
        </w:trPr>
        <w:tc>
          <w:tcPr>
            <w:tcW w:w="512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270"/>
              <w:spacing w:after="0"/>
              <w:rPr>
                <w:sz w:val="20"/>
                <w:szCs w:val="20"/>
                <w:color w:val="auto"/>
              </w:rPr>
            </w:pPr>
            <w:r>
              <w:rPr>
                <w:rFonts w:ascii="Arial" w:cs="Arial" w:eastAsia="Arial" w:hAnsi="Arial"/>
                <w:sz w:val="18"/>
                <w:szCs w:val="18"/>
                <w:b w:val="1"/>
                <w:bCs w:val="1"/>
                <w:color w:val="auto"/>
                <w:w w:val="95"/>
              </w:rPr>
              <w:t>30,</w:t>
            </w:r>
          </w:p>
        </w:tc>
        <w:tc>
          <w:tcPr>
            <w:tcW w:w="140" w:type="dxa"/>
            <w:vAlign w:val="bottom"/>
          </w:tcPr>
          <w:p>
            <w:pPr>
              <w:spacing w:after="0"/>
              <w:rPr>
                <w:sz w:val="22"/>
                <w:szCs w:val="22"/>
                <w:color w:val="auto"/>
              </w:rPr>
            </w:pPr>
          </w:p>
        </w:tc>
        <w:tc>
          <w:tcPr>
            <w:tcW w:w="3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64"/>
        </w:trPr>
        <w:tc>
          <w:tcPr>
            <w:tcW w:w="5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unexercised stock options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122,965</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146,655</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122,965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146,655</w:t>
            </w: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Unvested time-based restricted stock units</w:t>
            </w:r>
          </w:p>
        </w:tc>
        <w:tc>
          <w:tcPr>
            <w:tcW w:w="1360" w:type="dxa"/>
            <w:vAlign w:val="bottom"/>
          </w:tcPr>
          <w:p>
            <w:pPr>
              <w:jc w:val="right"/>
              <w:spacing w:after="0"/>
              <w:rPr>
                <w:sz w:val="20"/>
                <w:szCs w:val="20"/>
                <w:color w:val="auto"/>
              </w:rPr>
            </w:pPr>
            <w:r>
              <w:rPr>
                <w:rFonts w:ascii="Arial" w:cs="Arial" w:eastAsia="Arial" w:hAnsi="Arial"/>
                <w:sz w:val="18"/>
                <w:szCs w:val="18"/>
                <w:color w:val="auto"/>
              </w:rPr>
              <w:t>1,159,316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277,037</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421,614</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277,037</w:t>
            </w:r>
          </w:p>
        </w:tc>
      </w:tr>
      <w:tr>
        <w:trPr>
          <w:trHeight w:val="23"/>
        </w:trPr>
        <w:tc>
          <w:tcPr>
            <w:tcW w:w="5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performance-based restricted stock units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697,238</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424,675</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697,238</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424,675</w:t>
            </w:r>
          </w:p>
        </w:tc>
      </w:tr>
      <w:tr>
        <w:trPr>
          <w:trHeight w:val="26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1,979,519</w:t>
            </w:r>
          </w:p>
        </w:tc>
        <w:tc>
          <w:tcPr>
            <w:tcW w:w="6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848,367</w:t>
            </w:r>
          </w:p>
        </w:tc>
        <w:tc>
          <w:tcPr>
            <w:tcW w:w="14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1,241,817</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848,367</w:t>
            </w:r>
          </w:p>
        </w:tc>
      </w:tr>
      <w:tr>
        <w:trPr>
          <w:trHeight w:val="20"/>
        </w:trPr>
        <w:tc>
          <w:tcPr>
            <w:tcW w:w="5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of Financial Instruments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in an orderly transaction between market participants. In arriving at a fair value measurement, the Company uses a fair value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hierarchy based on three levels of inputs, of which the first two are considered observable and the last unobservable. The three levels of inputs used to establish fair value are the following:</w:t>
      </w:r>
    </w:p>
    <w:p>
      <w:pPr>
        <w:spacing w:after="0" w:line="1"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63" w:lineRule="exact"/>
        <w:rPr>
          <w:rFonts w:ascii="Arial" w:cs="Arial" w:eastAsia="Arial" w:hAnsi="Arial"/>
          <w:sz w:val="18"/>
          <w:szCs w:val="18"/>
          <w:color w:val="auto"/>
        </w:rPr>
      </w:pPr>
    </w:p>
    <w:p>
      <w:pPr>
        <w:jc w:val="both"/>
        <w:ind w:left="1140" w:hanging="484"/>
        <w:spacing w:after="0" w:line="268"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8"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assets are measured at fair value on a nonrecurring basis. These assets, including property and equipment and operating lease right-of-use assets, are subject to fair value adjustments whenever events or circumstances indicate the carrying value of the assets may not be recoverable and are subsequently written down to fair value when impaired. During the three and nine months ended September 30, 2024 and 2023, the Company had no impairment charges related to its property and equipment or operating lease right-of-use assets.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measured at fair value on a recurring basis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360" w:type="dxa"/>
            <w:vAlign w:val="bottom"/>
            <w:tcBorders>
              <w:bottom w:val="single" w:sz="8" w:color="auto"/>
            </w:tcBorders>
            <w:gridSpan w:val="10"/>
          </w:tcPr>
          <w:p>
            <w:pPr>
              <w:jc w:val="center"/>
              <w:ind w:right="290"/>
              <w:spacing w:after="0"/>
              <w:rPr>
                <w:sz w:val="20"/>
                <w:szCs w:val="20"/>
                <w:color w:val="auto"/>
              </w:rPr>
            </w:pPr>
            <w:r>
              <w:rPr>
                <w:rFonts w:ascii="Arial" w:cs="Arial" w:eastAsia="Arial" w:hAnsi="Arial"/>
                <w:sz w:val="18"/>
                <w:szCs w:val="18"/>
                <w:b w:val="1"/>
                <w:bCs w:val="1"/>
                <w:color w:val="auto"/>
                <w:w w:val="99"/>
              </w:rPr>
              <w:t>Fair value measurement as of September 30, 2024</w:t>
            </w:r>
          </w:p>
        </w:tc>
      </w:tr>
      <w:tr>
        <w:trPr>
          <w:trHeight w:val="263"/>
        </w:trPr>
        <w:tc>
          <w:tcPr>
            <w:tcW w:w="35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Level 1</w:t>
            </w: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8"/>
                <w:szCs w:val="18"/>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35"/>
        </w:trPr>
        <w:tc>
          <w:tcPr>
            <w:tcW w:w="3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gridSpan w:val="5"/>
          </w:tcPr>
          <w:p>
            <w:pPr>
              <w:jc w:val="right"/>
              <w:spacing w:after="0"/>
              <w:rPr>
                <w:sz w:val="20"/>
                <w:szCs w:val="20"/>
                <w:color w:val="auto"/>
              </w:rPr>
            </w:pPr>
            <w:r>
              <w:rPr>
                <w:rFonts w:ascii="Arial" w:cs="Arial" w:eastAsia="Arial" w:hAnsi="Arial"/>
                <w:sz w:val="16"/>
                <w:szCs w:val="16"/>
                <w:i w:val="1"/>
                <w:iCs w:val="1"/>
                <w:color w:val="auto"/>
              </w:rPr>
              <w:t>(in thousands)</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8"/>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7"/>
        </w:trPr>
        <w:tc>
          <w:tcPr>
            <w:tcW w:w="35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126,132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126,132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ind w:right="31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3"/>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109,373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109,373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235,505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235,505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b w:val="1"/>
                <w:bCs w:val="1"/>
                <w:color w:val="auto"/>
              </w:rPr>
              <w:t>—</w:t>
            </w:r>
          </w:p>
        </w:tc>
        <w:tc>
          <w:tcPr>
            <w:tcW w:w="140" w:type="dxa"/>
            <w:vAlign w:val="bottom"/>
            <w:gridSpan w:val="2"/>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b w:val="1"/>
                <w:bCs w:val="1"/>
                <w:color w:val="auto"/>
              </w:rPr>
              <w:t>—</w:t>
            </w:r>
          </w:p>
        </w:tc>
      </w:tr>
      <w:tr>
        <w:trPr>
          <w:trHeight w:val="27"/>
        </w:trPr>
        <w:tc>
          <w:tcPr>
            <w:tcW w:w="3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486"/>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10"/>
          </w:tcPr>
          <w:p>
            <w:pPr>
              <w:jc w:val="center"/>
              <w:ind w:right="270"/>
              <w:spacing w:after="0"/>
              <w:rPr>
                <w:sz w:val="20"/>
                <w:szCs w:val="20"/>
                <w:color w:val="auto"/>
              </w:rPr>
            </w:pPr>
            <w:r>
              <w:rPr>
                <w:rFonts w:ascii="Arial" w:cs="Arial" w:eastAsia="Arial" w:hAnsi="Arial"/>
                <w:sz w:val="18"/>
                <w:szCs w:val="18"/>
                <w:b w:val="1"/>
                <w:bCs w:val="1"/>
                <w:color w:val="auto"/>
                <w:w w:val="99"/>
              </w:rPr>
              <w:t>Fair value measurement as of December 31, 2023</w:t>
            </w:r>
          </w:p>
        </w:tc>
      </w:tr>
      <w:tr>
        <w:trPr>
          <w:trHeight w:val="263"/>
        </w:trPr>
        <w:tc>
          <w:tcPr>
            <w:tcW w:w="3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Level 1</w:t>
            </w: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8"/>
                <w:szCs w:val="18"/>
                <w:b w:val="1"/>
                <w:bCs w:val="1"/>
                <w:color w:val="auto"/>
                <w:w w:val="98"/>
              </w:rPr>
              <w:t>Level 2</w:t>
            </w: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35"/>
        </w:trPr>
        <w:tc>
          <w:tcPr>
            <w:tcW w:w="3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gridSpan w:val="5"/>
          </w:tcPr>
          <w:p>
            <w:pPr>
              <w:jc w:val="right"/>
              <w:spacing w:after="0"/>
              <w:rPr>
                <w:sz w:val="20"/>
                <w:szCs w:val="20"/>
                <w:color w:val="auto"/>
              </w:rPr>
            </w:pPr>
            <w:r>
              <w:rPr>
                <w:rFonts w:ascii="Arial" w:cs="Arial" w:eastAsia="Arial" w:hAnsi="Arial"/>
                <w:sz w:val="16"/>
                <w:szCs w:val="16"/>
                <w:i w:val="1"/>
                <w:iCs w:val="1"/>
                <w:color w:val="auto"/>
              </w:rPr>
              <w:t>(in thousands)</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8"/>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7"/>
        </w:trPr>
        <w:tc>
          <w:tcPr>
            <w:tcW w:w="35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4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12,671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12,671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44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3"/>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199,121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199,121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211,792</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211,792</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gridSpan w:val="2"/>
          </w:tcPr>
          <w:p>
            <w:pPr>
              <w:ind w:left="10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b w:val="1"/>
                <w:bCs w:val="1"/>
                <w:color w:val="auto"/>
              </w:rPr>
              <w:t>—</w:t>
            </w:r>
          </w:p>
        </w:tc>
      </w:tr>
      <w:tr>
        <w:trPr>
          <w:trHeight w:val="27"/>
        </w:trPr>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amounts reported in the unaudited Condensed Consolidated Balance Sheets as current assets or current liabilities, including </w:t>
      </w:r>
      <w:r>
        <w:rPr>
          <w:rFonts w:ascii="Arial" w:cs="Arial" w:eastAsia="Arial" w:hAnsi="Arial"/>
          <w:sz w:val="18"/>
          <w:szCs w:val="18"/>
          <w:i w:val="1"/>
          <w:iCs w:val="1"/>
          <w:color w:val="auto"/>
        </w:rPr>
        <w:t>Cash</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Restricted cash</w:t>
      </w:r>
      <w:r>
        <w:rPr>
          <w:rFonts w:ascii="Arial" w:cs="Arial" w:eastAsia="Arial" w:hAnsi="Arial"/>
          <w:sz w:val="18"/>
          <w:szCs w:val="18"/>
          <w:color w:val="auto"/>
        </w:rPr>
        <w:t>,</w:t>
      </w:r>
      <w:r>
        <w:rPr>
          <w:rFonts w:ascii="Arial" w:cs="Arial" w:eastAsia="Arial" w:hAnsi="Arial"/>
          <w:sz w:val="18"/>
          <w:szCs w:val="18"/>
          <w:i w:val="1"/>
          <w:iCs w:val="1"/>
          <w:color w:val="auto"/>
        </w:rPr>
        <w:t xml:space="preserve"> Accounts receivable, net</w:t>
      </w:r>
      <w:r>
        <w:rPr>
          <w:rFonts w:ascii="Arial" w:cs="Arial" w:eastAsia="Arial" w:hAnsi="Arial"/>
          <w:sz w:val="18"/>
          <w:szCs w:val="18"/>
          <w:color w:val="auto"/>
        </w:rPr>
        <w:t>,</w:t>
      </w:r>
      <w:r>
        <w:rPr>
          <w:rFonts w:ascii="Arial" w:cs="Arial" w:eastAsia="Arial" w:hAnsi="Arial"/>
          <w:sz w:val="18"/>
          <w:szCs w:val="18"/>
          <w:i w:val="1"/>
          <w:iCs w:val="1"/>
          <w:color w:val="auto"/>
        </w:rPr>
        <w:t xml:space="preserve"> Current contract assets, net</w:t>
      </w:r>
      <w:r>
        <w:rPr>
          <w:rFonts w:ascii="Arial" w:cs="Arial" w:eastAsia="Arial" w:hAnsi="Arial"/>
          <w:sz w:val="18"/>
          <w:szCs w:val="18"/>
          <w:color w:val="auto"/>
        </w:rPr>
        <w:t>,</w:t>
      </w:r>
      <w:r>
        <w:rPr>
          <w:rFonts w:ascii="Arial" w:cs="Arial" w:eastAsia="Arial" w:hAnsi="Arial"/>
          <w:sz w:val="18"/>
          <w:szCs w:val="18"/>
          <w:i w:val="1"/>
          <w:iCs w:val="1"/>
          <w:color w:val="auto"/>
        </w:rPr>
        <w:t xml:space="preserve"> Other current assets</w:t>
      </w:r>
      <w:r>
        <w:rPr>
          <w:rFonts w:ascii="Arial" w:cs="Arial" w:eastAsia="Arial" w:hAnsi="Arial"/>
          <w:sz w:val="18"/>
          <w:szCs w:val="18"/>
          <w:color w:val="auto"/>
        </w:rPr>
        <w:t>,</w:t>
      </w:r>
      <w:r>
        <w:rPr>
          <w:rFonts w:ascii="Arial" w:cs="Arial" w:eastAsia="Arial" w:hAnsi="Arial"/>
          <w:sz w:val="18"/>
          <w:szCs w:val="18"/>
          <w:i w:val="1"/>
          <w:iCs w:val="1"/>
          <w:color w:val="auto"/>
        </w:rPr>
        <w:t xml:space="preserve"> Accounts payable </w:t>
      </w:r>
      <w:r>
        <w:rPr>
          <w:rFonts w:ascii="Arial" w:cs="Arial" w:eastAsia="Arial" w:hAnsi="Arial"/>
          <w:sz w:val="18"/>
          <w:szCs w:val="18"/>
          <w:color w:val="auto"/>
        </w:rPr>
        <w:t>and</w:t>
      </w:r>
      <w:r>
        <w:rPr>
          <w:rFonts w:ascii="Arial" w:cs="Arial" w:eastAsia="Arial" w:hAnsi="Arial"/>
          <w:sz w:val="18"/>
          <w:szCs w:val="18"/>
          <w:i w:val="1"/>
          <w:iCs w:val="1"/>
          <w:color w:val="auto"/>
        </w:rPr>
        <w:t xml:space="preserve"> Accrued expenses</w:t>
      </w:r>
      <w:r>
        <w:rPr>
          <w:rFonts w:ascii="Arial" w:cs="Arial" w:eastAsia="Arial" w:hAnsi="Arial"/>
          <w:sz w:val="18"/>
          <w:szCs w:val="18"/>
          <w:color w:val="auto"/>
        </w:rPr>
        <w:t>, each</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their fair value due to the short-term maturities of the instruments.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of financial assets that are not measured at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720" w:type="dxa"/>
            <w:vAlign w:val="bottom"/>
            <w:tcBorders>
              <w:bottom w:val="single" w:sz="8" w:color="auto"/>
            </w:tcBorders>
            <w:gridSpan w:val="5"/>
          </w:tcPr>
          <w:p>
            <w:pPr>
              <w:ind w:left="860"/>
              <w:spacing w:after="0"/>
              <w:rPr>
                <w:sz w:val="20"/>
                <w:szCs w:val="20"/>
                <w:color w:val="auto"/>
              </w:rPr>
            </w:pPr>
            <w:r>
              <w:rPr>
                <w:rFonts w:ascii="Arial" w:cs="Arial" w:eastAsia="Arial" w:hAnsi="Arial"/>
                <w:sz w:val="18"/>
                <w:szCs w:val="18"/>
                <w:b w:val="1"/>
                <w:bCs w:val="1"/>
                <w:color w:val="auto"/>
              </w:rPr>
              <w:t>September 30, 2024</w:t>
            </w:r>
          </w:p>
        </w:tc>
        <w:tc>
          <w:tcPr>
            <w:tcW w:w="20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4"/>
          </w:tcPr>
          <w:p>
            <w:pPr>
              <w:ind w:left="880"/>
              <w:spacing w:after="0"/>
              <w:rPr>
                <w:sz w:val="20"/>
                <w:szCs w:val="20"/>
                <w:color w:val="auto"/>
              </w:rPr>
            </w:pPr>
            <w:r>
              <w:rPr>
                <w:rFonts w:ascii="Arial" w:cs="Arial" w:eastAsia="Arial" w:hAnsi="Arial"/>
                <w:sz w:val="18"/>
                <w:szCs w:val="18"/>
                <w:b w:val="1"/>
                <w:bCs w:val="1"/>
                <w:color w:val="auto"/>
              </w:rPr>
              <w:t>December 31, 2023</w:t>
            </w:r>
          </w:p>
        </w:tc>
      </w:tr>
      <w:tr>
        <w:trPr>
          <w:trHeight w:val="263"/>
        </w:trPr>
        <w:tc>
          <w:tcPr>
            <w:tcW w:w="3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2"/>
                <w:szCs w:val="22"/>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Carrying value</w:t>
            </w:r>
          </w:p>
        </w:tc>
        <w:tc>
          <w:tcPr>
            <w:tcW w:w="300" w:type="dxa"/>
            <w:vAlign w:val="bottom"/>
          </w:tcPr>
          <w:p>
            <w:pPr>
              <w:spacing w:after="0"/>
              <w:rPr>
                <w:sz w:val="22"/>
                <w:szCs w:val="22"/>
                <w:color w:val="auto"/>
              </w:rPr>
            </w:pPr>
          </w:p>
        </w:tc>
        <w:tc>
          <w:tcPr>
            <w:tcW w:w="1660" w:type="dxa"/>
            <w:vAlign w:val="bottom"/>
            <w:gridSpan w:val="2"/>
          </w:tcPr>
          <w:p>
            <w:pPr>
              <w:ind w:left="20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2"/>
                <w:szCs w:val="22"/>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Carrying value</w:t>
            </w:r>
          </w:p>
        </w:tc>
        <w:tc>
          <w:tcPr>
            <w:tcW w:w="300" w:type="dxa"/>
            <w:vAlign w:val="bottom"/>
          </w:tcPr>
          <w:p>
            <w:pPr>
              <w:spacing w:after="0"/>
              <w:rPr>
                <w:sz w:val="22"/>
                <w:szCs w:val="22"/>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 value</w:t>
            </w:r>
          </w:p>
        </w:tc>
      </w:tr>
      <w:tr>
        <w:trPr>
          <w:trHeight w:val="257"/>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r>
      <w:tr>
        <w:trPr>
          <w:trHeight w:val="247"/>
        </w:trPr>
        <w:tc>
          <w:tcPr>
            <w:tcW w:w="3540" w:type="dxa"/>
            <w:vAlign w:val="bottom"/>
          </w:tcPr>
          <w:p>
            <w:pPr>
              <w:ind w:left="140"/>
              <w:spacing w:after="0"/>
              <w:rPr>
                <w:sz w:val="20"/>
                <w:szCs w:val="20"/>
                <w:color w:val="auto"/>
              </w:rPr>
            </w:pPr>
            <w:r>
              <w:rPr>
                <w:rFonts w:ascii="Arial" w:cs="Arial" w:eastAsia="Arial" w:hAnsi="Arial"/>
                <w:sz w:val="16"/>
                <w:szCs w:val="16"/>
                <w:color w:val="auto"/>
              </w:rPr>
              <w:t>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141,502</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141,502</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ind w:left="900"/>
              <w:spacing w:after="0"/>
              <w:rPr>
                <w:sz w:val="20"/>
                <w:szCs w:val="20"/>
                <w:color w:val="auto"/>
              </w:rPr>
            </w:pPr>
            <w:r>
              <w:rPr>
                <w:rFonts w:ascii="Arial" w:cs="Arial" w:eastAsia="Arial" w:hAnsi="Arial"/>
                <w:sz w:val="18"/>
                <w:szCs w:val="18"/>
                <w:color w:val="auto"/>
              </w:rPr>
              <w:t>144,045</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144,045</w:t>
            </w:r>
          </w:p>
        </w:tc>
      </w:tr>
      <w:tr>
        <w:trPr>
          <w:trHeight w:val="23"/>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141,502</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141,502</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144,045</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144,045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carrying amount of the Company’s debt approximates its fair value due to its variable interest rate. The fair value was determined using the Adjusted SOFR as of September 30, 2024 and December 31, 2023 plus an applicable spread, a Level 2 classification in the fair value hierarchy.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accounting policy is to recognize transfers between levels of the fair value hierarchy on the date of the event or change in circumstances that caused the transfer. There were no transfers into or out of any level for the periods ended September 30, 2024 and December 31,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provides information that management believes is relevant to an assessment and understanding of Open Lending Corporation’s unaudited condensed consolidated results of operations and financial condition. The discussion should be read in conjunction with the audited consolidated financial statements and notes thereto in our Annual Report. This discussion contains forward-looking statements and involves numerous risks and uncertainties, including, but not limited to, those described under the heading “Risk Factors” set forth elsewhere in this Quarterly Report on Form 10-Q (this “Quarterly Report”) and our Annual Report.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consolidated subsidiaries.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(the “Exchange Act”),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include, but are not limited to, statements about:</w:t>
      </w:r>
    </w:p>
    <w:p>
      <w:pPr>
        <w:spacing w:after="0" w:line="75" w:lineRule="exact"/>
        <w:rPr>
          <w:sz w:val="20"/>
          <w:szCs w:val="20"/>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strategy, future operations, financial position, estimated revenues and losses, projected costs, prospects and plans;</w:t>
      </w:r>
    </w:p>
    <w:p>
      <w:pPr>
        <w:spacing w:after="0" w:line="44"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relative strength of the overall economy, including its effect on unemployment, consumer spending and consumer demand for automotive products;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turnover in automotive lenders, as well as varying activation rates and volatility in usage of LPP by automotive lenders;</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growth in loan volume from our top ten automotive lenders relative to that of other automotive lenders and associated concentration of risks;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revenue;</w:t>
      </w:r>
    </w:p>
    <w:p>
      <w:pPr>
        <w:spacing w:after="0" w:line="117" w:lineRule="exact"/>
        <w:rPr>
          <w:rFonts w:ascii="Arial" w:cs="Arial" w:eastAsia="Arial" w:hAnsi="Arial"/>
          <w:sz w:val="18"/>
          <w:szCs w:val="18"/>
          <w:color w:val="auto"/>
        </w:rPr>
      </w:pPr>
    </w:p>
    <w:p>
      <w:pPr>
        <w:ind w:left="1140" w:right="2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selling and marketing expenses and research and development expenses in absolute dollars and as a percentage of revenue;</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compliance with regulatory requirements, including federal and state consumer lending and consumer protection laws;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the Nasdaq Stock Market LLC;</w:t>
      </w:r>
    </w:p>
    <w:p>
      <w:pPr>
        <w:spacing w:after="0" w:line="117" w:lineRule="exact"/>
        <w:rPr>
          <w:rFonts w:ascii="Arial" w:cs="Arial" w:eastAsia="Arial" w:hAnsi="Arial"/>
          <w:sz w:val="18"/>
          <w:szCs w:val="18"/>
          <w:color w:val="auto"/>
        </w:rPr>
      </w:pPr>
    </w:p>
    <w:p>
      <w:pPr>
        <w:ind w:left="1140" w:right="2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agreements between us and state agencies regarding issues including automotive lender conduct and oversight and loan pricing;</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 and</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applicable taxes, inflation, supply chain disruptions, including global hostilities and responses thereto, interest rates and the regulatory environment.</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forward-looking statements are based on information and estimates available to us at the time of this Quarterly Report and are not guarantees of future financial performance.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and our Annual Report. We caution you that the foregoing list may not contain all of the forward-looking statements made in this Quarterly Report. You should not rely upon forward-looking statements as predictions of future events.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leading provider of lending enablement and risk analytics to credit unions, regional banks, finance companies and the captive finance companies of automakers. Our customers, collectively referred to herein as 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$24.3 billion in automotive loans, accumulated more than 20 years of proprietary data and developed over two million unique risk profiles. We currently serve 406 active lenders.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specialize in risk-based pricing and modeling and provide automated decision-technology for automotive lenders throughout the U.S. We target the financing needs of near-prime and non-prime borrowers, or borrowers with a credit bureau score generally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must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flagship product, LPP, is a cloud-based automotive lending enablement platform. LPP supports loans made to near-prime and non-prime borrowers and is designed to underwrite default insurance by linking automotive lenders to our insurance partners. The platform uses risk-based pricing models which enable automotive lenders to assess the credit risk of a potential borrower using data driven analysis. Our proprietary risk models project loan performance, including expected losses and prepayments in arriving at the optimal contract interest rate. With five-second decisioning,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Fair Credit Reporting Act-compliant alternative consumer data to more effectively assess risk and determine the appropriate insurance premium for any given loan application.</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 data analytics of the automotive lender’s portfolio under the program. Through electronic system integration, our software technology connects us to parties in our ecosystem.</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key element of LPP is the unique database that drives risk decisioning using data accumulated for more than 20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constantly evolve and refine risk models, based on actual experience and third-party information sources.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the automotive industry is still seeking solutions to address the near-prime and non-prime borrower market. The near-prime and non-prime automotive loan origination market is a large, underserved sector, estimated at $270 billion annually. We currently serve approximately 1% of this market, providing a significant growth opportunity. In addition, our market opportunity related to the refinancing of near-prime and non-prime automotive loans is estimated at $40 billion annually.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facilitate certified loans and have achieved financial success by targeting the financing needs of near-prime and non-prime borrowers who are underserved in the automotive finance industry.</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facilitated 27,435 and 84,587 certified loans during the three and nine months ended September 30, 2024, as compared to 29,959 and 96,721 certified loans during the three and nine months ended September 30, 2023.</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Total revenue was $23.5 million and $80.9 million for the three and nine months ended September 30, 2024, as compared to $26.0 million and $102.5 million during the three and nine months ended September 30, 2023.</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Operating income was $1.9 million and $13.2 million for the three and nine months ended September 30, 2024, as compared to $4.5 million and $37.4 million in the three and nine months ended September 30, 2023.</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Net income was $1.4 million and $9.4 million for the three and nine months ended September 30, 2024, as compared to $3.0 million and $26.9 million for the three and nine months ended September 30, 2023.</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Adjusted EBITDA was $ 7.8 million and $30.1 million for the three and nine months ended September 30, 2024, as compared to $10.3 million and $52.3 million during the three and nine months ended September 30, 2023.</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Information regarding use of Adjusted EBITDA, a non-GAAP measure, and a reconciliation of Adjusted EBITDA to net income, the most comparable GAAP measure, is included in </w:t>
      </w:r>
      <w:r>
        <w:rPr>
          <w:rFonts w:ascii="Arial" w:cs="Arial" w:eastAsia="Arial" w:hAnsi="Arial"/>
          <w:sz w:val="18"/>
          <w:szCs w:val="18"/>
          <w:i w:val="1"/>
          <w:iCs w:val="1"/>
          <w:color w:val="auto"/>
        </w:rPr>
        <w:t>“Non-GAAP Financial Measures.”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summarizes the dollar value of insured loans facilitated and the number of new contracts we signed with automotive lenders for the three and nine months ended September 30, 2024 and 2023.</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September</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5"/>
        </w:trPr>
        <w:tc>
          <w:tcPr>
            <w:tcW w:w="50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5"/>
              </w:rPr>
              <w:t>30,</w:t>
            </w:r>
          </w:p>
        </w:tc>
        <w:tc>
          <w:tcPr>
            <w:tcW w:w="11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0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63"/>
        </w:trPr>
        <w:tc>
          <w:tcPr>
            <w:tcW w:w="50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27,435</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84,587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96,721</w:t>
            </w:r>
          </w:p>
        </w:tc>
      </w:tr>
      <w:tr>
        <w:trPr>
          <w:trHeight w:val="247"/>
        </w:trPr>
        <w:tc>
          <w:tcPr>
            <w:tcW w:w="5060" w:type="dxa"/>
            <w:vAlign w:val="bottom"/>
          </w:tcPr>
          <w:p>
            <w:pPr>
              <w:ind w:left="20"/>
              <w:spacing w:after="0"/>
              <w:rPr>
                <w:sz w:val="20"/>
                <w:szCs w:val="20"/>
                <w:color w:val="auto"/>
              </w:rPr>
            </w:pPr>
            <w:r>
              <w:rPr>
                <w:rFonts w:ascii="Arial" w:cs="Arial" w:eastAsia="Arial" w:hAnsi="Arial"/>
                <w:sz w:val="18"/>
                <w:szCs w:val="18"/>
                <w:color w:val="auto"/>
              </w:rPr>
              <w:t>Value of insured loans facilitated (in thousands)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772,469</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883,470</w:t>
            </w:r>
          </w:p>
        </w:tc>
        <w:tc>
          <w:tcPr>
            <w:tcW w:w="14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2,379,621</w:t>
            </w:r>
          </w:p>
        </w:tc>
        <w:tc>
          <w:tcPr>
            <w:tcW w:w="1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2,850,133</w:t>
            </w:r>
          </w:p>
        </w:tc>
      </w:tr>
      <w:tr>
        <w:trPr>
          <w:trHeight w:val="23"/>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loan size per certified loan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28,156</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29,468</w:t>
            </w:r>
          </w:p>
        </w:tc>
      </w:tr>
      <w:tr>
        <w:trPr>
          <w:trHeight w:val="247"/>
        </w:trPr>
        <w:tc>
          <w:tcPr>
            <w:tcW w:w="5060" w:type="dxa"/>
            <w:vAlign w:val="bottom"/>
          </w:tcPr>
          <w:p>
            <w:pPr>
              <w:ind w:left="20"/>
              <w:spacing w:after="0"/>
              <w:rPr>
                <w:sz w:val="20"/>
                <w:szCs w:val="20"/>
                <w:color w:val="auto"/>
              </w:rPr>
            </w:pPr>
            <w:r>
              <w:rPr>
                <w:rFonts w:ascii="Arial" w:cs="Arial" w:eastAsia="Arial" w:hAnsi="Arial"/>
                <w:sz w:val="18"/>
                <w:szCs w:val="18"/>
                <w:color w:val="auto"/>
              </w:rPr>
              <w:t>Number of contracts signed with automotive lenders</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“active lenders” as lenders who certify at least one loan during the preceding 12 months. As of September 30, 2024 and 2023, we had 406 and 463 active lenders, respectively. The table below represents lender count information for lenders with certified loan activity during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312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 September</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5"/>
        </w:trPr>
        <w:tc>
          <w:tcPr>
            <w:tcW w:w="5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270"/>
              <w:spacing w:after="0"/>
              <w:rPr>
                <w:sz w:val="20"/>
                <w:szCs w:val="20"/>
                <w:color w:val="auto"/>
              </w:rPr>
            </w:pPr>
            <w:r>
              <w:rPr>
                <w:rFonts w:ascii="Arial" w:cs="Arial" w:eastAsia="Arial" w:hAnsi="Arial"/>
                <w:sz w:val="18"/>
                <w:szCs w:val="18"/>
                <w:b w:val="1"/>
                <w:bCs w:val="1"/>
                <w:color w:val="auto"/>
                <w:w w:val="95"/>
              </w:rPr>
              <w:t>30,</w:t>
            </w:r>
          </w:p>
        </w:tc>
        <w:tc>
          <w:tcPr>
            <w:tcW w:w="140" w:type="dxa"/>
            <w:vAlign w:val="bottom"/>
          </w:tcPr>
          <w:p>
            <w:pPr>
              <w:spacing w:after="0"/>
              <w:rPr>
                <w:sz w:val="22"/>
                <w:szCs w:val="22"/>
                <w:color w:val="auto"/>
              </w:rPr>
            </w:pPr>
          </w:p>
        </w:tc>
        <w:tc>
          <w:tcPr>
            <w:tcW w:w="3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63"/>
        </w:trPr>
        <w:tc>
          <w:tcPr>
            <w:tcW w:w="5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5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Lenders certifying loans at beginning of period</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7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 xml:space="preserve">New lenders </w:t>
            </w:r>
            <w:r>
              <w:rPr>
                <w:rFonts w:ascii="Arial" w:cs="Arial" w:eastAsia="Arial" w:hAnsi="Arial"/>
                <w:sz w:val="23"/>
                <w:szCs w:val="23"/>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change in lenders </w:t>
            </w:r>
            <w:r>
              <w:rPr>
                <w:rFonts w:ascii="Arial" w:cs="Arial" w:eastAsia="Arial" w:hAnsi="Arial"/>
                <w:sz w:val="23"/>
                <w:szCs w:val="23"/>
                <w:color w:val="auto"/>
                <w:vertAlign w:val="superscript"/>
              </w:rPr>
              <w:t>(2)</w:t>
            </w:r>
          </w:p>
        </w:tc>
        <w:tc>
          <w:tcPr>
            <w:tcW w:w="9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Lenders certifying loans at end of period</w:t>
            </w:r>
          </w:p>
        </w:tc>
        <w:tc>
          <w:tcPr>
            <w:tcW w:w="380" w:type="dxa"/>
            <w:vAlign w:val="bottom"/>
          </w:tcPr>
          <w:p>
            <w:pPr>
              <w:jc w:val="right"/>
              <w:spacing w:after="0"/>
              <w:rPr>
                <w:sz w:val="20"/>
                <w:szCs w:val="20"/>
                <w:color w:val="auto"/>
              </w:rPr>
            </w:pPr>
            <w:r>
              <w:rPr>
                <w:rFonts w:ascii="Arial" w:cs="Arial" w:eastAsia="Arial" w:hAnsi="Arial"/>
                <w:sz w:val="18"/>
                <w:szCs w:val="18"/>
                <w:color w:val="auto"/>
              </w:rPr>
              <w:t>394</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0"/>
        </w:trPr>
        <w:tc>
          <w:tcPr>
            <w:tcW w:w="5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New lenders using LPP to certify loans for the first time during the period.</w:t>
      </w:r>
    </w:p>
    <w:p>
      <w:pPr>
        <w:spacing w:after="0" w:line="21" w:lineRule="exact"/>
        <w:rPr>
          <w:rFonts w:ascii="Arial" w:cs="Arial" w:eastAsia="Arial" w:hAnsi="Arial"/>
          <w:sz w:val="16"/>
          <w:szCs w:val="16"/>
          <w:color w:val="auto"/>
        </w:rPr>
      </w:pPr>
    </w:p>
    <w:p>
      <w:pPr>
        <w:ind w:right="640" w:firstLine="8"/>
        <w:spacing w:after="0" w:line="265" w:lineRule="auto"/>
        <w:tabs>
          <w:tab w:leader="none" w:pos="243"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change in the number of lenders previously onboarded who use LPP to certify loans during the period. Certain lenders experience periods of inactivity followed by periods of activity, causing the lender count to fluctuate from period to period.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similar companies, with recurring revenue streams.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Certified Loans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refer to “certified loans” as the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Program Fee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define “average program fee” as the total program fee revenue recognized for a period divided by the number of certified loans in that period.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Profit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define “underwriting profit” as the total underwriting profit expected to be received by insurers over the expected life of the certified loans.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Earned Premium</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“earned premium” as the total insurance premium earned by insurers in a given period. Earned premiums were $83.7 million and $253.5 million for the three and nine months ended September 30, 2024, respectively, as compared to $85.6 million and $249.1 million, for the three and nine months ended September 30, 2023,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 Key factors affecting our operating results include the following: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Number of Financial Institutions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growth trend in active automotive lenders using LPP is a critical factor directly affecting revenue and financial results as it influences the number of loans funded on LPP. Growth in our active automotive lender relationships will depend on our ability to retain existing automotive lenders and add new ones.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competition to acquire and maintain automotive lenders as customers, as well as competition to facilitate the funding of near-prime and non-prime auto loans. LPP, which combines lending enablement, risk analytics, near-prime and non-prime auto loan performance data, real-time loan decisioning, risk-based pricing and auto loan default insurance, is a unique solution for which we have not identified any direct competitors. The emergence of direct competitors, providing risk, analytics and loss mitigation, which are core elements of our business, could materially impact our ability to acquire and maintain automotive lender customers. 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Assumptions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rely on assumptions to calculate the value of profit share revenue, which is our share of insurance partners’ underwriting profit. For example, positive change in estimates associated with historic vintages generate an increase in our contract asset, additional revenues and future expected cash flows, while negative change in estimates generate a decrease in our contract asset, a reduction in revenues and future expected cash flows. Please refer to </w:t>
      </w:r>
      <w:r>
        <w:rPr>
          <w:rFonts w:ascii="Arial" w:cs="Arial" w:eastAsia="Arial" w:hAnsi="Arial"/>
          <w:sz w:val="18"/>
          <w:szCs w:val="18"/>
          <w:u w:val="single" w:color="auto"/>
          <w:color w:val="0000FF"/>
        </w:rPr>
        <w:t>Critical Accounting Policies and Estimates</w:t>
      </w:r>
      <w:r>
        <w:rPr>
          <w:rFonts w:ascii="Arial" w:cs="Arial" w:eastAsia="Arial" w:hAnsi="Arial"/>
          <w:sz w:val="18"/>
          <w:szCs w:val="18"/>
          <w:color w:val="auto"/>
        </w:rPr>
        <w:t xml:space="preserve"> for more information on these assumptions.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and General Economic Conditions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results of operations have been and may continue to be impacted by the relative strength of the overall economy and its effect on unemployment, consumer spending, consumer demand for automotive financing and our lender customer’s liquidity. As general economic conditions improve or deteriorate, the amount of disposable income consumers have tends to fluctuate, which in turn impacts consumer spending levels and the willingness of consumers to enter into loans to finance purchases and consumers’ ability to afford financial obligations. Specific economic factors such as inflation, rising interest rate levels, changes in monetary and related policies, market volatility, supply chain disruptions, consumer confidence and, particularly, the unemployment rate also influence consumer spending and borrowing patterns.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largest insurance partner accounted for 35% of the Company’s total revenue during the three and nine months ended September 30, 2024. The Company’s largest insurance partners accounted for 29% and 10% of the Company's total revenue during the three months ended September 30, 2023 and 32% and 11% during the nine months ended September 30,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Termination or disruption of these relationships could materially and adversely impact our revenue. See “</w:t>
      </w:r>
      <w:r>
        <w:rPr>
          <w:rFonts w:ascii="Arial" w:cs="Arial" w:eastAsia="Arial" w:hAnsi="Arial"/>
          <w:sz w:val="18"/>
          <w:szCs w:val="18"/>
          <w:i w:val="1"/>
          <w:iCs w:val="1"/>
          <w:color w:val="auto"/>
        </w:rPr>
        <w:t>Item 1A—Risk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Business—If we lose one or more of our insurance carriers and are unable to replace their commitments, it could have a material adverse effect on our business</w:t>
      </w:r>
      <w:r>
        <w:rPr>
          <w:rFonts w:ascii="Arial" w:cs="Arial" w:eastAsia="Arial" w:hAnsi="Arial"/>
          <w:sz w:val="18"/>
          <w:szCs w:val="18"/>
          <w:color w:val="auto"/>
        </w:rPr>
        <w:t>” in our Annual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revenue is generated through three streams: (i) program fees paid to us by automotive lenders, (ii) profit share paid to us by insurance partners and (iii) claims administration service fees paid to us by insurance partners.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Program fees</w:t>
      </w:r>
      <w:r>
        <w:rPr>
          <w:rFonts w:ascii="Arial" w:cs="Arial" w:eastAsia="Arial" w:hAnsi="Arial"/>
          <w:sz w:val="18"/>
          <w:szCs w:val="18"/>
          <w:color w:val="auto"/>
        </w:rPr>
        <w:t>. Program fees are paid by automotive lenders for the use of LPP, which provides loan analytics solutions and automated</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credit default insurance with third-party insurance providers. These fees are based on a percentage of each certified loan’s original principal balance and are recognized as revenue upfront upon certification of the loan by the lending institution. The fee percentage rate varies based on the agreement with each lender. For loans with a one-time upfront payment, there is a sliding scale of rates representing volume discounts for certain lenders. Fees are calculated as a percentage of the funded loan amount and may be subject to a cap. For monthly-pay loans, the fee paid by the lender is typically 3% of the initial amount of the loan and is not capped.</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automotive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with credit default insurance on loans those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to future profit share calculations.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Claims administration service fees. </w:t>
      </w:r>
      <w:r>
        <w:rPr>
          <w:rFonts w:ascii="Arial" w:cs="Arial" w:eastAsia="Arial" w:hAnsi="Arial"/>
          <w:sz w:val="18"/>
          <w:szCs w:val="18"/>
          <w:color w:val="auto"/>
        </w:rPr>
        <w:t>Claims administration service fees are paid to us by third-party insurance partners for credit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claims adjudication services performed by our subsidiary, Insurance Administrative Services, LLC, on its insured servicing portfolio. The administration fee is equal to 3% of the monthly insurance earned premium for as long as the LPP certified loan remains outstanding.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Operating Expenses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third-party partners for lead-generation efforts, compensation and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employees engaged in automotive lender customer service, product support and claims administration activities, fees paid for actuarial services related to the development of the monthly premium program, fees for integration with the loan origination systems of automotive lenders and fees paid to credit bureaus and data service providers for credit applicant data. In the near term, we generally expect cost of services to remain constant as a percentage of our program fee revenue.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are comprised primarily of expenses relating to corporate-level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compensation and benefits, non-cash share-based compensation, travel, meals and entertainment expenses, data and software expenses and professional and consulting fees. In the near term, we expect general and administrative expenses to remain constant.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of employees engaged in</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and marketing activities. We generally expect selling and marketing expenses to remain constant as a percentage of our program fee revenue in the near term.</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primarily consist of compensation and benefits of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engaged in ongoing research and development. We generally expect our research and development expenses to remain constant in the near term.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payments and the amortization of deferred financing costs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issuance of our debt.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primarily includes interest earned on money market funds and U.S. Treasury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results of operations for the three and nine months ended September 30, 2024 and 2023:</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29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gridSpan w:val="6"/>
          </w:tcPr>
          <w:p>
            <w:pPr>
              <w:jc w:val="right"/>
              <w:ind w:right="41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gridSpan w:val="6"/>
          </w:tcPr>
          <w:p>
            <w:pPr>
              <w:jc w:val="right"/>
              <w:ind w:right="470"/>
              <w:spacing w:after="0"/>
              <w:rPr>
                <w:sz w:val="20"/>
                <w:szCs w:val="20"/>
                <w:color w:val="auto"/>
              </w:rPr>
            </w:pPr>
            <w:r>
              <w:rPr>
                <w:rFonts w:ascii="Arial" w:cs="Arial" w:eastAsia="Arial" w:hAnsi="Arial"/>
                <w:sz w:val="18"/>
                <w:szCs w:val="18"/>
                <w:b w:val="1"/>
                <w:bCs w:val="1"/>
                <w:color w:val="auto"/>
              </w:rPr>
              <w:t>Nine Months Ended September 30,</w:t>
            </w:r>
          </w:p>
        </w:tc>
      </w:tr>
      <w:tr>
        <w:trPr>
          <w:trHeight w:val="264"/>
        </w:trPr>
        <w:tc>
          <w:tcPr>
            <w:tcW w:w="29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 Change</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35"/>
        </w:trPr>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5"/>
          </w:tcPr>
          <w:p>
            <w:pPr>
              <w:ind w:left="840"/>
              <w:spacing w:after="0"/>
              <w:rPr>
                <w:sz w:val="20"/>
                <w:szCs w:val="20"/>
                <w:color w:val="auto"/>
              </w:rPr>
            </w:pPr>
            <w:r>
              <w:rPr>
                <w:rFonts w:ascii="Arial" w:cs="Arial" w:eastAsia="Arial" w:hAnsi="Arial"/>
                <w:sz w:val="16"/>
                <w:szCs w:val="16"/>
                <w:i w:val="1"/>
                <w:iCs w:val="1"/>
                <w:color w:val="auto"/>
              </w:rPr>
              <w:t>($ in thousands)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8"/>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7"/>
        </w:trPr>
        <w:tc>
          <w:tcPr>
            <w:tcW w:w="2940" w:type="dxa"/>
            <w:vAlign w:val="bottom"/>
          </w:tcPr>
          <w:p>
            <w:pPr>
              <w:ind w:left="340"/>
              <w:spacing w:after="0"/>
              <w:rPr>
                <w:sz w:val="20"/>
                <w:szCs w:val="20"/>
                <w:color w:val="auto"/>
              </w:rPr>
            </w:pPr>
            <w:r>
              <w:rPr>
                <w:rFonts w:ascii="Arial" w:cs="Arial" w:eastAsia="Arial" w:hAnsi="Arial"/>
                <w:sz w:val="18"/>
                <w:szCs w:val="18"/>
                <w:color w:val="auto"/>
              </w:rPr>
              <w:t>Program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14,161</w:t>
            </w:r>
          </w:p>
        </w:tc>
        <w:tc>
          <w:tcPr>
            <w:tcW w:w="1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15,416</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43,306</w:t>
            </w:r>
          </w:p>
        </w:tc>
        <w:tc>
          <w:tcPr>
            <w:tcW w:w="1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50,610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
        </w:trPr>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Profit share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44,433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4"/>
        </w:trPr>
        <w:tc>
          <w:tcPr>
            <w:tcW w:w="2940" w:type="dxa"/>
            <w:vAlign w:val="bottom"/>
          </w:tcPr>
          <w:p>
            <w:pPr>
              <w:ind w:left="340"/>
              <w:spacing w:after="0"/>
              <w:rPr>
                <w:sz w:val="20"/>
                <w:szCs w:val="20"/>
                <w:color w:val="auto"/>
              </w:rPr>
            </w:pPr>
            <w:r>
              <w:rPr>
                <w:rFonts w:ascii="Arial" w:cs="Arial" w:eastAsia="Arial" w:hAnsi="Arial"/>
                <w:sz w:val="18"/>
                <w:szCs w:val="18"/>
                <w:color w:val="auto"/>
              </w:rPr>
              <w:t>Claims administration and other</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9"/>
        </w:trPr>
        <w:tc>
          <w:tcPr>
            <w:tcW w:w="2940" w:type="dxa"/>
            <w:vAlign w:val="bottom"/>
          </w:tcPr>
          <w:p>
            <w:pPr>
              <w:ind w:left="340"/>
              <w:spacing w:after="0"/>
              <w:rPr>
                <w:sz w:val="20"/>
                <w:szCs w:val="20"/>
                <w:color w:val="auto"/>
              </w:rPr>
            </w:pPr>
            <w:r>
              <w:rPr>
                <w:rFonts w:ascii="Arial" w:cs="Arial" w:eastAsia="Arial" w:hAnsi="Arial"/>
                <w:sz w:val="18"/>
                <w:szCs w:val="18"/>
                <w:color w:val="auto"/>
              </w:rPr>
              <w:t>service fees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2,568</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7,605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7,478</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
        </w:trPr>
        <w:tc>
          <w:tcPr>
            <w:tcW w:w="2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23,476</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26,006</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80,948</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102,521</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r>
      <w:tr>
        <w:trPr>
          <w:trHeight w:val="264"/>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services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14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17,590</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16,917</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7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17,349</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20,637</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63,358</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85,604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r>
      <w:tr>
        <w:trPr>
          <w:trHeight w:val="262"/>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8"/>
        </w:trPr>
        <w:tc>
          <w:tcPr>
            <w:tcW w:w="2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33,318</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31,041</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7"/>
        </w:trPr>
        <w:tc>
          <w:tcPr>
            <w:tcW w:w="294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4,897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4,509</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13,260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13,136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
        </w:trPr>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294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15,483</w:t>
            </w: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16,101</w:t>
            </w:r>
          </w:p>
        </w:tc>
        <w:tc>
          <w:tcPr>
            <w:tcW w:w="140" w:type="dxa"/>
            <w:vAlign w:val="bottom"/>
            <w:tcBorders>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50,179</w:t>
            </w: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48,252</w:t>
            </w:r>
          </w:p>
        </w:tc>
        <w:tc>
          <w:tcPr>
            <w:tcW w:w="1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r>
      <w:tr>
        <w:trPr>
          <w:trHeight w:val="27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1,866</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4,536</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13,179</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37,352</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r>
      <w:tr>
        <w:trPr>
          <w:trHeight w:val="247"/>
        </w:trPr>
        <w:tc>
          <w:tcPr>
            <w:tcW w:w="29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(2,799)</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(8,468)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3"/>
        </w:trPr>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47"/>
        </w:trPr>
        <w:tc>
          <w:tcPr>
            <w:tcW w:w="294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
        </w:trPr>
        <w:tc>
          <w:tcPr>
            <w:tcW w:w="2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2,125</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4,535</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13,989</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36,819</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r>
      <w:tr>
        <w:trPr>
          <w:trHeight w:val="26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4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9,907</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95"/>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1,437</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3,003</w:t>
            </w:r>
          </w:p>
        </w:tc>
        <w:tc>
          <w:tcPr>
            <w:tcW w:w="1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9,426</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26,912</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performance measures for the three and nine months ended September 30, 2024 and 2023:</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29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 September 30,</w:t>
            </w:r>
          </w:p>
        </w:tc>
      </w:tr>
      <w:tr>
        <w:trPr>
          <w:trHeight w:val="264"/>
        </w:trPr>
        <w:tc>
          <w:tcPr>
            <w:tcW w:w="29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 Change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56"/>
        </w:trPr>
        <w:tc>
          <w:tcPr>
            <w:tcW w:w="2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0"/>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Certified loans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27,435</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29,959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84,587</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96,721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7"/>
        </w:trPr>
        <w:tc>
          <w:tcPr>
            <w:tcW w:w="2900" w:type="dxa"/>
            <w:vAlign w:val="bottom"/>
          </w:tcPr>
          <w:p>
            <w:pPr>
              <w:ind w:left="340"/>
              <w:spacing w:after="0"/>
              <w:rPr>
                <w:sz w:val="20"/>
                <w:szCs w:val="20"/>
                <w:color w:val="auto"/>
              </w:rPr>
            </w:pPr>
            <w:r>
              <w:rPr>
                <w:rFonts w:ascii="Arial" w:cs="Arial" w:eastAsia="Arial" w:hAnsi="Arial"/>
                <w:sz w:val="18"/>
                <w:szCs w:val="18"/>
                <w:color w:val="auto"/>
              </w:rPr>
              <w:t>Single-pay</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24,793</w:t>
            </w:r>
          </w:p>
        </w:tc>
        <w:tc>
          <w:tcPr>
            <w:tcW w:w="36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26,026</w:t>
            </w: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76,300</w:t>
            </w:r>
          </w:p>
        </w:tc>
        <w:tc>
          <w:tcPr>
            <w:tcW w:w="3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83,330</w:t>
            </w: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Monthly-pay</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3,933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8,287</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13,391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 xml:space="preserve">Average program fees </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527</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530</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2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Single-pay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316"/>
        </w:trPr>
        <w:tc>
          <w:tcPr>
            <w:tcW w:w="2900" w:type="dxa"/>
            <w:vAlign w:val="bottom"/>
          </w:tcPr>
          <w:p>
            <w:pPr>
              <w:ind w:left="340"/>
              <w:spacing w:after="0"/>
              <w:rPr>
                <w:sz w:val="20"/>
                <w:szCs w:val="20"/>
                <w:color w:val="auto"/>
              </w:rPr>
            </w:pPr>
            <w:r>
              <w:rPr>
                <w:rFonts w:ascii="Arial" w:cs="Arial" w:eastAsia="Arial" w:hAnsi="Arial"/>
                <w:sz w:val="18"/>
                <w:szCs w:val="18"/>
                <w:color w:val="auto"/>
              </w:rPr>
              <w:t xml:space="preserve">Monthly-pay </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860</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723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812</w:t>
            </w: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15"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Excludes one-time adjustments of $0.4 million and $0.6 million for the three and nine months ended September 30, 2023, respectively.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6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9"/>
              </w:rPr>
              <w:t>Comparison of Three and Nine Months Ended September 30, 2024 and 2023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16"/>
        </w:trPr>
        <w:tc>
          <w:tcPr>
            <w:tcW w:w="510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2"/>
        </w:trPr>
        <w:tc>
          <w:tcPr>
            <w:tcW w:w="5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September</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5"/>
        </w:trPr>
        <w:tc>
          <w:tcPr>
            <w:tcW w:w="5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5"/>
              </w:rPr>
              <w:t>30,</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63"/>
        </w:trPr>
        <w:tc>
          <w:tcPr>
            <w:tcW w:w="5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2024</w:t>
            </w:r>
          </w:p>
        </w:tc>
        <w:tc>
          <w:tcPr>
            <w:tcW w:w="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247"/>
        </w:trPr>
        <w:tc>
          <w:tcPr>
            <w:tcW w:w="5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3"/>
          </w:tcPr>
          <w:p>
            <w:pPr>
              <w:ind w:left="620"/>
              <w:spacing w:after="0"/>
              <w:rPr>
                <w:sz w:val="20"/>
                <w:szCs w:val="20"/>
                <w:color w:val="auto"/>
              </w:rPr>
            </w:pPr>
            <w:r>
              <w:rPr>
                <w:rFonts w:ascii="Arial" w:cs="Arial" w:eastAsia="Arial" w:hAnsi="Arial"/>
                <w:sz w:val="18"/>
                <w:szCs w:val="18"/>
                <w:i w:val="1"/>
                <w:iCs w:val="1"/>
                <w:color w:val="auto"/>
                <w:w w:val="98"/>
              </w:rPr>
              <w:t>(in thousands)</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Program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14,161</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15,416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43,306</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50,610</w:t>
            </w:r>
          </w:p>
        </w:tc>
      </w:tr>
      <w:tr>
        <w:trPr>
          <w:trHeight w:val="270"/>
        </w:trPr>
        <w:tc>
          <w:tcPr>
            <w:tcW w:w="5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7"/>
        </w:trPr>
        <w:tc>
          <w:tcPr>
            <w:tcW w:w="5100" w:type="dxa"/>
            <w:vAlign w:val="bottom"/>
          </w:tcPr>
          <w:p>
            <w:pPr>
              <w:ind w:left="360"/>
              <w:spacing w:after="0"/>
              <w:rPr>
                <w:sz w:val="20"/>
                <w:szCs w:val="20"/>
                <w:color w:val="auto"/>
              </w:rPr>
            </w:pPr>
            <w:r>
              <w:rPr>
                <w:rFonts w:ascii="Arial" w:cs="Arial" w:eastAsia="Arial" w:hAnsi="Arial"/>
                <w:sz w:val="18"/>
                <w:szCs w:val="18"/>
                <w:color w:val="auto"/>
              </w:rPr>
              <w:t>New certified loan originations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13,782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16,079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44,801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52,950</w:t>
            </w:r>
          </w:p>
        </w:tc>
      </w:tr>
      <w:tr>
        <w:trPr>
          <w:trHeight w:val="23"/>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 in estimated revenues</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(8,517)</w:t>
            </w:r>
          </w:p>
        </w:tc>
      </w:tr>
      <w:tr>
        <w:trPr>
          <w:trHeight w:val="256"/>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1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6,822</w:t>
            </w:r>
          </w:p>
        </w:tc>
        <w:tc>
          <w:tcPr>
            <w:tcW w:w="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8,022</w:t>
            </w:r>
          </w:p>
        </w:tc>
        <w:tc>
          <w:tcPr>
            <w:tcW w:w="12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30,037</w:t>
            </w:r>
          </w:p>
        </w:tc>
        <w:tc>
          <w:tcPr>
            <w:tcW w:w="1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44,433</w:t>
            </w:r>
          </w:p>
        </w:tc>
      </w:tr>
      <w:tr>
        <w:trPr>
          <w:trHeight w:val="278"/>
        </w:trPr>
        <w:tc>
          <w:tcPr>
            <w:tcW w:w="5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Claims administration and other service fees</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2,493</w:t>
            </w: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7,605</w:t>
            </w: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7,478</w:t>
            </w:r>
          </w:p>
        </w:tc>
      </w:tr>
      <w:tr>
        <w:trPr>
          <w:trHeight w:val="29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23,476</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26,006</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80,948</w:t>
            </w: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102,521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revenue decreased by $2.5 million, or 10%, for the three months ended September 30, 2024 as compared to the same period in 2023, driven by a $1.2 million decrease in profit share revenue and a $1.3 million decrease in program fees.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revenue decreased by $21.6 million, or 21%, for the nine months ended September 30, 2024, as compared to the same period in 2023, driven by a $14.4 million decrease in profit share revenue and a $ 7.3 million decrease in program fees, which was partially offset by increased claims administration and other service fee revenues of $0.1 million.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Program fees revenue decreased by $1.3 million, or 8%, during the three months ended September 30, 2024 as compared to the same period in 2023 driven by an 8% decrease in certified loan volume.</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Program fees revenue decreased by $7.3 million, or 14%, for the nine months ended September 30, 2024 as compared to the same period in 2023. The decrease in program fees revenue was driven by a 13% decrease in certified loan volume and a 3% decrease in unit economics per certified loan.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Profit share revenue decreased by $1.2 million, or 15%, during the three months ended September 30, 2024, as compared to the same period in 2023. Profit share revenue associated with new certified loan originations decreased $2.3 million, or 14%, primarily due to an 8% decrease in certified loans and a 7% decrease in unit economics during the three months ended September 30, 2024, as compared to the same period in 2023. Profit share revenue associated with change in estimate increased $1.1 million, or 14%, during those same periods.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September 30, 2024, we recorded $13.8 million in anticipated profit share associated with 27,435 new certified loans for an average of $502 per loan as compared to $16.1 million in anticipated profit share associated with 29,959 certified loans for an average of $537 per loan during the three months ended September 30, 2023. In addition, during the three months ended September 30, 2024, we recorded a reduction of $7.0 million in profit share revenue related to business in historic vintages. Of the $7.0 million, $4.0 million is primarily due to higher than anticipated loan defaults, partially offset by lower than anticipated severity of losses. The incremental $3.0 million reduction in profit share revenue represents an estimated, non-recurring liability for future claim payments and previous profit share receipts. During the three months ended September 30, 2023, we recorded a decrease of $8.1 million in profit share revenue related to business in historic vintages primarily due to higher than anticipated prepayments and loan defaults, partially offset by lower than anticipated severity of losses.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Profit share revenue decreased by $14.4 million, or 32%, during the nine months ended September 30, 2024, as compared to the same period in 2023. Profit share revenue associated with new certified loan originations decreased $8.1 million, or 15%, primarily due to a 13% decrease in certified loans and a 3% decrease in unit economics during the nine months ended September 30, 2024, as compared to the same period in 2023. Profit share revenue associated with change in estimate decreased $6.2 million, or 73%, during those same periods.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nine months ended September 30, 2024, we recorded $44.8 million in anticipated profit share associated with 84,587 new certified loans for an average of $530 per loan as compared to $53.0 million in anticipated profit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 associated with 96,721 certified loans for an average of $547 per loan during the nine months ended September 30, 2023. In addition, during the nine months ended September 30, 2024, we recorded a reduction of $14.8 million in profit share revenue related to business in historic vintages. Of the $14.8 million, $11.8 million is primarily due to higher than anticipated loan defaults, partially offset by lower than anticipated severity of losses. The incremental $3.0 million reduction in profit share revenue represents an estimated, non-recurring liability for future claim payments and previous profit share receipts. During the nine months ended September 30, 2023, we recorded a reduction of $8.5 million in profit share revenue related to business in historic vintages primarily due to higher than anticipated prepayments and loan defaults, partially offset by lower than anticipated severity of losses.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from claims administration and other service fees decreased by $0.1 million, or 3%, for the three months ended September 30, 2024 as compared to the same period in the prior year, due to a 2% decrease in total earned premiums during the three months ended September 30, 2024 as compared to the same period in the prior year.</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Revenue from claims administration and other service fees increased $ 0.1 million, or 2%, for the nine months ended September 30, 2024 as compared to the same period in the prior year, due to a 2% increase in total earned premiums during the nine months ended September 30, 2024 as compared to the same period in the prior year.</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gridSpan w:val="2"/>
          </w:tcPr>
          <w:p>
            <w:pPr>
              <w:spacing w:after="0"/>
              <w:rPr>
                <w:sz w:val="20"/>
                <w:szCs w:val="20"/>
                <w:color w:val="auto"/>
              </w:rPr>
            </w:pPr>
            <w:r>
              <w:rPr>
                <w:rFonts w:ascii="Arial" w:cs="Arial" w:eastAsia="Arial" w:hAnsi="Arial"/>
                <w:sz w:val="18"/>
                <w:szCs w:val="18"/>
                <w:i w:val="1"/>
                <w:iCs w:val="1"/>
                <w:color w:val="auto"/>
              </w:rPr>
              <w:t>Cost of Services, Gross Profit and Gross Margin</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34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4"/>
                <w:szCs w:val="24"/>
                <w:color w:val="auto"/>
              </w:rPr>
            </w:pPr>
          </w:p>
        </w:tc>
        <w:tc>
          <w:tcPr>
            <w:tcW w:w="310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20" w:type="dxa"/>
            <w:vAlign w:val="bottom"/>
            <w:gridSpan w:val="5"/>
          </w:tcPr>
          <w:p>
            <w:pPr>
              <w:ind w:left="70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23,476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26,006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80,948</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102,521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6,127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5,369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17,590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16,917</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17,349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20,637</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63,358</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85,604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74 %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79 %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78 %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83 %</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Cost of services increased $0.8 million, or 14%, during the three months ended September 30, 2024, as compared to the same period in 2023. Cost of services increased $0.7 million, or 4%, during the nine months ended September 30, 2024, as compared to the same period in</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2023. For the three and nine months ended September 30, 2024, as compared to the same periods in 2023, the change is primarily due to increased employee compensation and benefits of $0.4 million and $0.7 million, respectively, and increased fees paid to data service providers of $0.3 million and $0.8 million, respectively. For the nine months ended September 30, 2024, these increased costs were partially offset by a $1.3 million decrease in partner commissions, driven by lower loan certifications in 2024 versus 2023.</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Gross profit decreased by $3.3 million, or 16%, and $22.2 million, or 26%, during the three and nine months ended September 30, 2024, as compared to the same periods in 2023, primarily driven by decreases in anticipated profit share and program fees, as discussed above.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gridSpan w:val="3"/>
          </w:tcPr>
          <w:p>
            <w:pPr>
              <w:jc w:val="right"/>
              <w:ind w:right="70"/>
              <w:spacing w:after="0"/>
              <w:rPr>
                <w:sz w:val="20"/>
                <w:szCs w:val="20"/>
                <w:color w:val="auto"/>
              </w:rPr>
            </w:pPr>
            <w:r>
              <w:rPr>
                <w:rFonts w:ascii="Arial" w:cs="Arial" w:eastAsia="Arial" w:hAnsi="Arial"/>
                <w:sz w:val="18"/>
                <w:szCs w:val="18"/>
                <w:i w:val="1"/>
                <w:iCs w:val="1"/>
                <w:color w:val="auto"/>
                <w:w w:val="99"/>
              </w:rPr>
              <w:t>Operating Expenses, Operating Income and Operating Margin</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32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4"/>
                <w:szCs w:val="24"/>
                <w:color w:val="auto"/>
              </w:rPr>
            </w:pPr>
          </w:p>
        </w:tc>
        <w:tc>
          <w:tcPr>
            <w:tcW w:w="30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80" w:type="dxa"/>
            <w:vAlign w:val="bottom"/>
            <w:gridSpan w:val="5"/>
          </w:tcPr>
          <w:p>
            <w:pPr>
              <w:ind w:left="70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17,349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20,637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63,358</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85,604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9,594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9,875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33,318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31,041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4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4,897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13,260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13,136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4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15,483</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16,101</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50,179</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48,252</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1,866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4,536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13,179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37,352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revenue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680" w:type="dxa"/>
            <w:vAlign w:val="bottom"/>
            <w:vMerge w:val="continue"/>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23,476</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26,006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80,948</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102,521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margin</w:t>
            </w: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decreased by $0.3 million, or 3%, during the three months ended September 30, 2024 as compared to the same period in 2023 primarily driven by a decrease in employee compensation and benefit costs due to a decrease in the bonus accrual. General and administrative expenses increased by $ 2.3 million, or 7%, during the nine months ended September 30, 2024, as compared to the same period last year primarily driven by higher employee compensation and benefit costs of $3.5 million partially offset by decreased business taxes of $0.8 million due to non-recurring events in 2023.</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and marketing expenses increased by $0.4 million and $0.1 million, or 9% and 1%, during the three and nine months ended September 30, 2024 as compared to the same periods in 2023, primarily driven by higher employee compensation and benefit costs. For the nine months ended September 30, 2024, these increased costs were partially offset by a $0.3 million decrease in direct marketing expenses.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expenses decreased $0.7 million, or 42% during the three months ended September 30, 2024, as compared to the same period in 2023. Research and development expenses decreased by $0.5 million, or 12%, during the nine months ended September 30, 2024, as compared to the same period in 2023, primarily due to increased focus on product support and the development of internal use software.</w:t>
      </w:r>
    </w:p>
    <w:p>
      <w:pPr>
        <w:spacing w:after="0" w:line="6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Operating income for the three and nine months ended September 30, 2024 decreased by $2.7 million and $24.2 million, or 59% and 65%, respectively, as compared to the prior year periods, primarily driven by decreases in total revenues as well as changes in operating expenses, as discussed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increased $0.2 million, or 6%, for the three months ended September 30, 2024, as compared to the same period in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increased $0.6 million, or 8%, for the nine months ended September 30, 2024, as compared to the same period in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both periods, interest expense increased as a result of higher borrowing costs during 2024.</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and nine months ended September 30, 2024, interest income increased $0.4 million and $2.0 million, respectively, compared to the same periods in 2023, primarily due to an increase in interest earned on U.S. Treasury Securities and Money Market accounts.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September 30, 2024 and 2023, we recognized income tax expense of $0.7 million and $1.5 million, respectively, with effective tax rates of 32.4% and 33.8%, respectively. During the nine months ended September 30, 2024 and 2023, we recognized income tax expense of $4.6 million and $9.9 million, respectively, with effective tax rates of 32.6% and 26.9%, respectively.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tax expense decreased $ 0.8 million and $5.3 million, or 55% and 54%, respectively, during the three and nine months ended September 30, 2024 as compared to the three and nine months ended September 30, 2023, primarily as a result of the decrease in income before income taxes.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Liquidity Analysis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assumptions and is, therefore, subject to variability. We believe that our existing cash resources and the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 Refer to </w:t>
      </w:r>
      <w:r>
        <w:rPr>
          <w:rFonts w:ascii="Arial" w:cs="Arial" w:eastAsia="Arial" w:hAnsi="Arial"/>
          <w:sz w:val="18"/>
          <w:szCs w:val="18"/>
          <w:u w:val="single" w:color="auto"/>
          <w:color w:val="0000FF"/>
        </w:rPr>
        <w:t>Critical Accounting Policies and Estimates</w:t>
      </w:r>
      <w:r>
        <w:rPr>
          <w:rFonts w:ascii="Arial" w:cs="Arial" w:eastAsia="Arial" w:hAnsi="Arial"/>
          <w:sz w:val="18"/>
          <w:szCs w:val="18"/>
          <w:color w:val="0000FF"/>
        </w:rPr>
        <w:t xml:space="preserve"> </w:t>
      </w:r>
      <w:r>
        <w:rPr>
          <w:rFonts w:ascii="Arial" w:cs="Arial" w:eastAsia="Arial" w:hAnsi="Arial"/>
          <w:sz w:val="18"/>
          <w:szCs w:val="18"/>
          <w:color w:val="000000"/>
        </w:rPr>
        <w:t>in this Quarterly Report and our Annual Report for a full description of the related estimates,</w:t>
      </w:r>
      <w:r>
        <w:rPr>
          <w:rFonts w:ascii="Arial" w:cs="Arial" w:eastAsia="Arial" w:hAnsi="Arial"/>
          <w:sz w:val="18"/>
          <w:szCs w:val="18"/>
          <w:color w:val="0000FF"/>
        </w:rPr>
        <w:t xml:space="preserve"> </w:t>
      </w:r>
      <w:r>
        <w:rPr>
          <w:rFonts w:ascii="Arial" w:cs="Arial" w:eastAsia="Arial" w:hAnsi="Arial"/>
          <w:sz w:val="18"/>
          <w:szCs w:val="18"/>
          <w:color w:val="000000"/>
        </w:rPr>
        <w:t>assumptions and judgments.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our assessment of the underlying provisions and circumstances of our contractual obligations, other than the risks that we and other similarly situated companies face with respect to the condition of the capital markets (as described in “Risk Factors” in our Annual Report), there is no known trend, demand, commitment, event, 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uncertainty that is reasonably likely to occur that would have a material adverse effect on our consolidated results of operations, financial condition, or liquidity.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20" w:type="dxa"/>
            <w:vAlign w:val="bottom"/>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81"/>
        </w:trPr>
        <w:tc>
          <w:tcPr>
            <w:tcW w:w="6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Nine Months Ended September 30,</w:t>
            </w:r>
          </w:p>
        </w:tc>
      </w:tr>
      <w:tr>
        <w:trPr>
          <w:trHeight w:val="263"/>
        </w:trPr>
        <w:tc>
          <w:tcPr>
            <w:tcW w:w="65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2023</w:t>
            </w:r>
          </w:p>
        </w:tc>
      </w:tr>
      <w:tr>
        <w:trPr>
          <w:trHeight w:val="235"/>
        </w:trPr>
        <w:tc>
          <w:tcPr>
            <w:tcW w:w="6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20" w:type="dxa"/>
            <w:vAlign w:val="bottom"/>
            <w:gridSpan w:val="2"/>
          </w:tcPr>
          <w:p>
            <w:pPr>
              <w:jc w:val="right"/>
              <w:ind w:right="150"/>
              <w:spacing w:after="0"/>
              <w:rPr>
                <w:sz w:val="20"/>
                <w:szCs w:val="20"/>
                <w:color w:val="auto"/>
              </w:rPr>
            </w:pPr>
            <w:r>
              <w:rPr>
                <w:rFonts w:ascii="Arial" w:cs="Arial" w:eastAsia="Arial" w:hAnsi="Arial"/>
                <w:sz w:val="16"/>
                <w:szCs w:val="16"/>
                <w:i w:val="1"/>
                <w:iCs w:val="1"/>
                <w:color w:val="auto"/>
              </w:rPr>
              <w:t>(in thousands)</w:t>
            </w:r>
          </w:p>
        </w:tc>
        <w:tc>
          <w:tcPr>
            <w:tcW w:w="1600" w:type="dxa"/>
            <w:vAlign w:val="bottom"/>
          </w:tcPr>
          <w:p>
            <w:pPr>
              <w:spacing w:after="0"/>
              <w:rPr>
                <w:sz w:val="20"/>
                <w:szCs w:val="20"/>
                <w:color w:val="auto"/>
              </w:rPr>
            </w:pPr>
          </w:p>
        </w:tc>
      </w:tr>
      <w:tr>
        <w:trPr>
          <w:trHeight w:val="25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20,976</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65,903</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(2,738)</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(1,588)</w:t>
            </w:r>
          </w:p>
        </w:tc>
      </w:tr>
      <w:tr>
        <w:trPr>
          <w:trHeight w:val="23"/>
        </w:trPr>
        <w:tc>
          <w:tcPr>
            <w:tcW w:w="6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(34,423)</w:t>
            </w:r>
          </w:p>
        </w:tc>
      </w:tr>
      <w:tr>
        <w:trPr>
          <w:trHeight w:val="23"/>
        </w:trPr>
        <w:tc>
          <w:tcPr>
            <w:tcW w:w="65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flows provided by operating activities reflect net income adjusted for certain non-cash items and changes in operating assets and liabilities.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non-cash adjustments in the operating activities in the unaudited Condensed Statement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520" w:type="dxa"/>
            <w:vAlign w:val="bottom"/>
          </w:tcPr>
          <w:p>
            <w:pPr>
              <w:spacing w:after="0"/>
              <w:rPr>
                <w:sz w:val="22"/>
                <w:szCs w:val="22"/>
                <w:color w:val="auto"/>
              </w:rPr>
            </w:pPr>
          </w:p>
        </w:tc>
        <w:tc>
          <w:tcPr>
            <w:tcW w:w="39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Nine Months Ended September 30,</w:t>
            </w:r>
          </w:p>
        </w:tc>
        <w:tc>
          <w:tcPr>
            <w:tcW w:w="760" w:type="dxa"/>
            <w:vAlign w:val="bottom"/>
            <w:tcBorders>
              <w:bottom w:val="single" w:sz="8" w:color="auto"/>
            </w:tcBorders>
          </w:tcPr>
          <w:p>
            <w:pPr>
              <w:spacing w:after="0"/>
              <w:rPr>
                <w:sz w:val="22"/>
                <w:szCs w:val="22"/>
                <w:color w:val="auto"/>
              </w:rPr>
            </w:pPr>
          </w:p>
        </w:tc>
      </w:tr>
      <w:tr>
        <w:trPr>
          <w:trHeight w:val="263"/>
        </w:trPr>
        <w:tc>
          <w:tcPr>
            <w:tcW w:w="6520" w:type="dxa"/>
            <w:vAlign w:val="bottom"/>
          </w:tcPr>
          <w:p>
            <w:pPr>
              <w:spacing w:after="0"/>
              <w:rPr>
                <w:sz w:val="22"/>
                <w:szCs w:val="22"/>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tcPr>
          <w:p>
            <w:pPr>
              <w:spacing w:after="0"/>
              <w:rPr>
                <w:sz w:val="22"/>
                <w:szCs w:val="22"/>
                <w:color w:val="auto"/>
              </w:rPr>
            </w:pPr>
          </w:p>
        </w:tc>
      </w:tr>
      <w:tr>
        <w:trPr>
          <w:trHeight w:val="235"/>
        </w:trPr>
        <w:tc>
          <w:tcPr>
            <w:tcW w:w="6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80" w:type="dxa"/>
            <w:vAlign w:val="bottom"/>
            <w:gridSpan w:val="3"/>
          </w:tcPr>
          <w:p>
            <w:pPr>
              <w:jc w:val="right"/>
              <w:ind w:right="990"/>
              <w:spacing w:after="0"/>
              <w:rPr>
                <w:sz w:val="20"/>
                <w:szCs w:val="20"/>
                <w:color w:val="auto"/>
              </w:rPr>
            </w:pPr>
            <w:r>
              <w:rPr>
                <w:rFonts w:ascii="Arial" w:cs="Arial" w:eastAsia="Arial" w:hAnsi="Arial"/>
                <w:sz w:val="16"/>
                <w:szCs w:val="16"/>
                <w:i w:val="1"/>
                <w:iCs w:val="1"/>
                <w:color w:val="auto"/>
              </w:rPr>
              <w:t>(in thousands)</w:t>
            </w:r>
          </w:p>
        </w:tc>
        <w:tc>
          <w:tcPr>
            <w:tcW w:w="760" w:type="dxa"/>
            <w:vAlign w:val="bottom"/>
          </w:tcPr>
          <w:p>
            <w:pPr>
              <w:spacing w:after="0"/>
              <w:rPr>
                <w:sz w:val="20"/>
                <w:szCs w:val="20"/>
                <w:color w:val="auto"/>
              </w:rPr>
            </w:pPr>
          </w:p>
        </w:tc>
      </w:tr>
      <w:tr>
        <w:trPr>
          <w:trHeight w:val="278"/>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80" w:type="dxa"/>
            <w:vAlign w:val="bottom"/>
            <w:shd w:val="clear" w:color="auto" w:fill="CCEEFF"/>
          </w:tcPr>
          <w:p>
            <w:pPr>
              <w:jc w:val="right"/>
              <w:ind w:right="127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9,426</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26,912</w:t>
            </w:r>
          </w:p>
        </w:tc>
      </w:tr>
      <w:tr>
        <w:trPr>
          <w:trHeight w:val="247"/>
        </w:trPr>
        <w:tc>
          <w:tcPr>
            <w:tcW w:w="6520" w:type="dxa"/>
            <w:vAlign w:val="bottom"/>
          </w:tcPr>
          <w:p>
            <w:pPr>
              <w:ind w:left="140"/>
              <w:spacing w:after="0"/>
              <w:rPr>
                <w:sz w:val="20"/>
                <w:szCs w:val="20"/>
                <w:color w:val="auto"/>
              </w:rPr>
            </w:pPr>
            <w:r>
              <w:rPr>
                <w:rFonts w:ascii="Arial" w:cs="Arial" w:eastAsia="Arial" w:hAnsi="Arial"/>
                <w:sz w:val="18"/>
                <w:szCs w:val="18"/>
                <w:color w:val="auto"/>
              </w:rPr>
              <w:t>Non-cash adjustments</w:t>
            </w:r>
          </w:p>
        </w:tc>
        <w:tc>
          <w:tcPr>
            <w:tcW w:w="1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13,020</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8,816</w:t>
            </w:r>
          </w:p>
        </w:tc>
      </w:tr>
      <w:tr>
        <w:trPr>
          <w:trHeight w:val="23"/>
        </w:trPr>
        <w:tc>
          <w:tcPr>
            <w:tcW w:w="6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Non-cash (gains) losses</w:t>
            </w:r>
          </w:p>
        </w:tc>
        <w:tc>
          <w:tcPr>
            <w:tcW w:w="1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7"/>
        </w:trPr>
        <w:tc>
          <w:tcPr>
            <w:tcW w:w="6520" w:type="dxa"/>
            <w:vAlign w:val="bottom"/>
          </w:tcPr>
          <w:p>
            <w:pPr>
              <w:ind w:left="140"/>
              <w:spacing w:after="0"/>
              <w:rPr>
                <w:sz w:val="20"/>
                <w:szCs w:val="20"/>
                <w:color w:val="auto"/>
              </w:rPr>
            </w:pPr>
            <w:r>
              <w:rPr>
                <w:rFonts w:ascii="Arial" w:cs="Arial" w:eastAsia="Arial" w:hAnsi="Arial"/>
                <w:sz w:val="18"/>
                <w:szCs w:val="18"/>
                <w:color w:val="auto"/>
              </w:rPr>
              <w:t>Change in contract assets</w:t>
            </w:r>
          </w:p>
        </w:tc>
        <w:tc>
          <w:tcPr>
            <w:tcW w:w="1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(10,594)</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26,199</w:t>
            </w:r>
          </w:p>
        </w:tc>
      </w:tr>
      <w:tr>
        <w:trPr>
          <w:trHeight w:val="23"/>
        </w:trPr>
        <w:tc>
          <w:tcPr>
            <w:tcW w:w="6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other assets and liabilities</w:t>
            </w:r>
          </w:p>
        </w:tc>
        <w:tc>
          <w:tcPr>
            <w:tcW w:w="1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9,087</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r>
      <w:tr>
        <w:trPr>
          <w:trHeight w:val="26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480" w:type="dxa"/>
            <w:vAlign w:val="bottom"/>
            <w:tcBorders>
              <w:top w:val="single" w:sz="8" w:color="auto"/>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20,976</w:t>
            </w:r>
          </w:p>
        </w:tc>
        <w:tc>
          <w:tcPr>
            <w:tcW w:w="12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65,903</w:t>
            </w:r>
          </w:p>
        </w:tc>
      </w:tr>
      <w:tr>
        <w:trPr>
          <w:trHeight w:val="20"/>
        </w:trPr>
        <w:tc>
          <w:tcPr>
            <w:tcW w:w="65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decreased by $44.9 million for the nine months ended September 30, 2024 as compared to the nine months ended September 30, 2023. The decrease was primarily attributable to decreased cash collections of $58.8 million related to reduced profit share, program fees and claims administration service fee revenues, and $ 2.0 million increase in interest expense payments. The decrease in cash was offset by a $9.8 million reduction in income tax payments, $ 2.0 million increase in interest income received, $1.8 million decrease in cash payments related to cost of services and operating expenses and $2.3 million reduction in working capital during the nine months ended September 30, 2024 as compared to the nine months ended September 30,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2024 and 2023, net cash used in investing activities was $2.7 million and $1.6 million, respectively. For the nine months ended September 30, 2024 and 2023, the investments were primarily related to internal use software development costs.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used in financing activities primarily consist of share repurchases, payments of debt and deferred financing costs.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2024, net cash used in financing activities was $3.9 million which includes a $2.8 million principal payment on our Term Loan due 2027 and $1.1 million for shares withheld for payroll taxes associated with the vesting of restricted stock awards.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September 30, 2023, net cash used in financing activities was $34.4 million and is primarily related to the repurchase of 4,296,927 shares of our common stock held in treasury stock for a total of $31.3 million, excluding excise tax, as well as $2.8 million principal payment on our Term Loan due 2027.</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September 30, 2024, we had no amounts outstanding under the Revolving Credit Facility and $141.5 million outstanding under our Term Loan due 2027.</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Board of Directors authorized a share repurchase program (the “Share Repurchase Program”), allowing the Company to repurchase up to $75.0 million of the Company’s outstanding common stock until March 31, 2024. Pursuant to the Share Repurchase Program, the Company repurchased 5,233,065 and 2,643,306 shares at an average price of $7.13 and $6.82 for a total of $37.3 million and $18.0 million, excluding excise tax, during the years ended December 31, 2023 and 2022, respectively. These shares were recorded to </w:t>
      </w:r>
      <w:r>
        <w:rPr>
          <w:rFonts w:ascii="Arial" w:cs="Arial" w:eastAsia="Arial" w:hAnsi="Arial"/>
          <w:sz w:val="18"/>
          <w:szCs w:val="18"/>
          <w:i w:val="1"/>
          <w:iCs w:val="1"/>
          <w:color w:val="auto"/>
        </w:rPr>
        <w:t>Treasury stock, 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 </w:t>
      </w:r>
      <w:r>
        <w:rPr>
          <w:rFonts w:ascii="Arial" w:cs="Arial" w:eastAsia="Arial" w:hAnsi="Arial"/>
          <w:sz w:val="18"/>
          <w:szCs w:val="18"/>
          <w:color w:val="auto"/>
        </w:rPr>
        <w:t>in the unaudited Condensed Consolidated Balance Sheets, which includes $0.3 million of excise tax paid in October 2024. This excise</w:t>
      </w:r>
      <w:r>
        <w:rPr>
          <w:rFonts w:ascii="Arial" w:cs="Arial" w:eastAsia="Arial" w:hAnsi="Arial"/>
          <w:sz w:val="18"/>
          <w:szCs w:val="18"/>
          <w:i w:val="1"/>
          <w:iCs w:val="1"/>
          <w:color w:val="auto"/>
        </w:rPr>
        <w:t xml:space="preserve"> </w:t>
      </w:r>
      <w:r>
        <w:rPr>
          <w:rFonts w:ascii="Arial" w:cs="Arial" w:eastAsia="Arial" w:hAnsi="Arial"/>
          <w:sz w:val="18"/>
          <w:szCs w:val="18"/>
          <w:color w:val="auto"/>
        </w:rPr>
        <w:t>tax payable is included within A</w:t>
      </w:r>
      <w:r>
        <w:rPr>
          <w:rFonts w:ascii="Arial" w:cs="Arial" w:eastAsia="Arial" w:hAnsi="Arial"/>
          <w:sz w:val="18"/>
          <w:szCs w:val="18"/>
          <w:i w:val="1"/>
          <w:iCs w:val="1"/>
          <w:color w:val="auto"/>
        </w:rPr>
        <w:t>ccrued expenses</w:t>
      </w:r>
      <w:r>
        <w:rPr>
          <w:rFonts w:ascii="Arial" w:cs="Arial" w:eastAsia="Arial" w:hAnsi="Arial"/>
          <w:sz w:val="18"/>
          <w:szCs w:val="18"/>
          <w:color w:val="auto"/>
        </w:rPr>
        <w:t xml:space="preserve"> in the unaudited Condensed Consolidated Balance Sheets.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decision to declare and pay dividends in the future will be made at the sole discretion of our Board of Directors and will depend on, among other things, results of operations, cash requirements, financial condition, contractual restrictions and other factors that our Board of Directors may deem relevant. In addition, our ability to pay dividends is limited by covenants in our existing indebtedness and may be limited by the agreements governing other indebtedness that we or our subsidiaries may incur in the future.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and Adjusted EBITDA margin are non-GAAP financial measures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These measures further provide useful analysis of period-to-period comparisons of our business, as they exclude the effect of certain non-cash items and certain variable charges. Adjusted EBITDA is defined as GAAP net income excluding interest expense, income taxes, depreciation and amortization expense of property and equipment and share-based compensation expense. Adjusted EBITDA margin is defined as Adjusted EBITDA expressed as a percentage of total revenue.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GAAP net income to Adjusted EBITDA for each of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32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2"/>
                <w:szCs w:val="22"/>
                <w:color w:val="auto"/>
              </w:rPr>
            </w:pPr>
          </w:p>
        </w:tc>
        <w:tc>
          <w:tcPr>
            <w:tcW w:w="3100" w:type="dxa"/>
            <w:vAlign w:val="bottom"/>
            <w:gridSpan w:val="5"/>
          </w:tcPr>
          <w:p>
            <w:pPr>
              <w:spacing w:after="0"/>
              <w:rPr>
                <w:sz w:val="20"/>
                <w:szCs w:val="20"/>
                <w:color w:val="auto"/>
              </w:rPr>
            </w:pPr>
            <w:r>
              <w:rPr>
                <w:rFonts w:ascii="Arial" w:cs="Arial" w:eastAsia="Arial" w:hAnsi="Arial"/>
                <w:sz w:val="18"/>
                <w:szCs w:val="18"/>
                <w:b w:val="1"/>
                <w:bCs w:val="1"/>
                <w:color w:val="auto"/>
              </w:rPr>
              <w:t>Nine Months Ended September 30,</w:t>
            </w: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80" w:type="dxa"/>
            <w:vAlign w:val="bottom"/>
            <w:gridSpan w:val="5"/>
          </w:tcPr>
          <w:p>
            <w:pPr>
              <w:ind w:left="70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1,437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9,426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26,912</w:t>
            </w:r>
          </w:p>
        </w:tc>
        <w:tc>
          <w:tcPr>
            <w:tcW w:w="20" w:type="dxa"/>
            <w:vAlign w:val="bottom"/>
          </w:tcPr>
          <w:p>
            <w:pPr>
              <w:spacing w:after="0"/>
              <w:rPr>
                <w:sz w:val="23"/>
                <w:szCs w:val="23"/>
                <w:color w:val="auto"/>
              </w:rPr>
            </w:pPr>
          </w:p>
        </w:tc>
      </w:tr>
      <w:tr>
        <w:trPr>
          <w:trHeight w:val="247"/>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8,468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7,841</w:t>
            </w:r>
          </w:p>
        </w:tc>
        <w:tc>
          <w:tcPr>
            <w:tcW w:w="20" w:type="dxa"/>
            <w:vAlign w:val="bottom"/>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9,907</w:t>
            </w:r>
          </w:p>
        </w:tc>
        <w:tc>
          <w:tcPr>
            <w:tcW w:w="20" w:type="dxa"/>
            <w:vAlign w:val="bottom"/>
          </w:tcPr>
          <w:p>
            <w:pPr>
              <w:spacing w:after="0"/>
              <w:rPr>
                <w:sz w:val="21"/>
                <w:szCs w:val="21"/>
                <w:color w:val="auto"/>
              </w:rPr>
            </w:pPr>
          </w:p>
        </w:tc>
      </w:tr>
      <w:tr>
        <w:trPr>
          <w:trHeight w:val="2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of fixed assets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824</w:t>
            </w:r>
          </w:p>
        </w:tc>
        <w:tc>
          <w:tcPr>
            <w:tcW w:w="20" w:type="dxa"/>
            <w:vAlign w:val="bottom"/>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6,408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6,826</w:t>
            </w:r>
          </w:p>
        </w:tc>
        <w:tc>
          <w:tcPr>
            <w:tcW w:w="20" w:type="dxa"/>
            <w:vAlign w:val="bottom"/>
          </w:tcPr>
          <w:p>
            <w:pPr>
              <w:spacing w:after="0"/>
              <w:rPr>
                <w:sz w:val="21"/>
                <w:szCs w:val="21"/>
                <w:color w:val="auto"/>
              </w:rPr>
            </w:pPr>
          </w:p>
        </w:tc>
      </w:tr>
      <w:tr>
        <w:trPr>
          <w:trHeight w:val="23"/>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adjustments</w:t>
            </w: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6,330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7,322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20,720</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25,398</w:t>
            </w:r>
          </w:p>
        </w:tc>
        <w:tc>
          <w:tcPr>
            <w:tcW w:w="2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7,767</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10,325</w:t>
            </w: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30,146</w:t>
            </w:r>
          </w:p>
        </w:tc>
        <w:tc>
          <w:tcPr>
            <w:tcW w:w="12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52,310</w:t>
            </w:r>
          </w:p>
        </w:tc>
        <w:tc>
          <w:tcPr>
            <w:tcW w:w="20" w:type="dxa"/>
            <w:vAlign w:val="bottom"/>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23,476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26,006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80,948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102,521</w:t>
            </w:r>
          </w:p>
        </w:tc>
        <w:tc>
          <w:tcPr>
            <w:tcW w:w="20" w:type="dxa"/>
            <w:vAlign w:val="bottom"/>
          </w:tcPr>
          <w:p>
            <w:pPr>
              <w:spacing w:after="0"/>
              <w:rPr>
                <w:sz w:val="22"/>
                <w:szCs w:val="22"/>
                <w:color w:val="auto"/>
              </w:rPr>
            </w:pPr>
          </w:p>
        </w:tc>
      </w:tr>
      <w:tr>
        <w:trPr>
          <w:trHeight w:val="255"/>
        </w:trPr>
        <w:tc>
          <w:tcPr>
            <w:tcW w:w="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33 %</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51 %</w:t>
            </w:r>
          </w:p>
        </w:tc>
        <w:tc>
          <w:tcPr>
            <w:tcW w:w="20" w:type="dxa"/>
            <w:vAlign w:val="bottom"/>
          </w:tcPr>
          <w:p>
            <w:pPr>
              <w:spacing w:after="0"/>
              <w:rPr>
                <w:sz w:val="22"/>
                <w:szCs w:val="22"/>
                <w:color w:val="auto"/>
              </w:rPr>
            </w:pPr>
          </w:p>
        </w:tc>
      </w:tr>
      <w:tr>
        <w:trPr>
          <w:trHeight w:val="91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46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and nine months ended September 30, 2024, Adjusted EBITDA decreased by $2.6 million and $22.2 million, or 25% and 42%, respectively, as compared to the three and nine months ended September 30, 2023. Adjusted EBITDA margin for the three months ended September 30, 2024 decreased to 33% as compared to 40% during the same period in 2023. Adjusted EBITDA margin for the nine months ended September 30, 2024 decreased to 37% as compared to 51% during the same period in 2023.</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Adjusted EBITDA during the three and nine months ended September 30, 2024 reflects our reduced revenue due to lower certified loan volume and the impact of profit share revenue change in estimate as well as increased cost of services and operating expenses during each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have not been any material changes during the three and nine months ended September 30, 2024 to the methodology applied by management for critical accounting policies previously disclosed in our Annual Report. Please refer to “</w:t>
      </w:r>
      <w:r>
        <w:rPr>
          <w:rFonts w:ascii="Arial" w:cs="Arial" w:eastAsia="Arial" w:hAnsi="Arial"/>
          <w:sz w:val="18"/>
          <w:szCs w:val="18"/>
          <w:i w:val="1"/>
          <w:iCs w:val="1"/>
          <w:color w:val="auto"/>
        </w:rPr>
        <w:t>Part II, 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Operations—Critical Accounting Policies and Estimates</w:t>
      </w:r>
      <w:r>
        <w:rPr>
          <w:rFonts w:ascii="Arial" w:cs="Arial" w:eastAsia="Arial" w:hAnsi="Arial"/>
          <w:sz w:val="18"/>
          <w:szCs w:val="18"/>
          <w:color w:val="auto"/>
        </w:rPr>
        <w:t>” in our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for further description of our critical accounting policies and estimates.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had no material changes in our contractual commitments and obligations during the three and nine months ended September 30, 2024 from the amounts listed under “</w:t>
      </w:r>
      <w:r>
        <w:rPr>
          <w:rFonts w:ascii="Arial" w:cs="Arial" w:eastAsia="Arial" w:hAnsi="Arial"/>
          <w:sz w:val="18"/>
          <w:szCs w:val="18"/>
          <w:i w:val="1"/>
          <w:iCs w:val="1"/>
          <w:color w:val="auto"/>
        </w:rPr>
        <w:t>Part II, Item 7. 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operations include activities in the U.S. These operations expose us to a variety of market risks, including the effects of changes in interest rates and changes in consumer attitudes toward financing a vehicle purchase. We monitor and manage these financial exposures as an integral part of our overall risk management program.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consumer spending levels, the willingness of consumers to enter into loans to finance purchases and consumers ability to afford financial obligations. Consumer spending and borrowing patterns related to auto purchases are influenced by economic factors such as unemployment rates, inflation, rising interest rate levels, changes in monetary and related policies, market volatility and overall consumer confidence. We also face risk from competition to acquire, maintain and develop new relationships with automotive lenders as well as competition from a wide variety of automotive lenders who are (or are affiliated) with financial institutions and have capacity to hold loans on their balance sheets.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rely on our three largest insurance partners for a significant portion of our profit share and claims administration service fee revenue. Termination or disruption of these relationships could materially and adversely impact our revenue. See “</w:t>
      </w:r>
      <w:r>
        <w:rPr>
          <w:rFonts w:ascii="Arial" w:cs="Arial" w:eastAsia="Arial" w:hAnsi="Arial"/>
          <w:sz w:val="18"/>
          <w:szCs w:val="18"/>
          <w:i w:val="1"/>
          <w:iCs w:val="1"/>
          <w:color w:val="auto"/>
        </w:rPr>
        <w:t>Item 1A—Risk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Business—If we lose one or more of our insurance carriers and are unable to replace their commitments, it could have a material adverse effect on our business</w:t>
      </w:r>
      <w:r>
        <w:rPr>
          <w:rFonts w:ascii="Arial" w:cs="Arial" w:eastAsia="Arial" w:hAnsi="Arial"/>
          <w:sz w:val="18"/>
          <w:szCs w:val="18"/>
          <w:color w:val="auto"/>
        </w:rPr>
        <w:t>” in our Annual Report.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earnings and cash flows are subject to fluctuations due to changes in interest rates on investment of available cash balances in money market funds and U.S. Treasury securities. Our Term Loan due 2027 also exposes us to changes in short-term interest rates since interest rates on the underlying obligations are variable.</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2024, we had outstanding amounts of $142.5 million under the Term Loan due 2027, which is scheduled to mature on September 9, 2027. There were no amounts outstanding under the Revolving Credit Facility as of September 30, 2024. Borrowings under the Credit Agreement bear interest at a rate equal to Adjusted SOFR plus a spread that is based upon our total net leverage ratio. The spread ranges from 1.625% to 2.375% per annum for Adjusted SOFR loans. We are also charged an unused commitment fee that ranges from 0.15% to 0.225% per annum on the average daily unused portion of the Revolving Credit Facility, which is paid quarterly in arrears and is based on our total net leverage ratio.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concluded that, as of such date,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13a-15(f) or 15d-15(f) of the Exchange Act during the period covered by this Quarterly Report, that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the date of this Quarterly Report, we were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and other cautionary statements described under Part I, Item 1A. “Risk Factors” in our Annual Report,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the Annual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 following table sets forth information with respect to our repurchases of shares of common stock during the three months ended September 30, 2024.</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jc w:val="center"/>
              <w:ind w:right="39"/>
              <w:spacing w:after="0"/>
              <w:rPr>
                <w:sz w:val="20"/>
                <w:szCs w:val="20"/>
                <w:color w:val="auto"/>
              </w:rPr>
            </w:pPr>
            <w:r>
              <w:rPr>
                <w:rFonts w:ascii="Arial" w:cs="Arial" w:eastAsia="Arial" w:hAnsi="Arial"/>
                <w:sz w:val="16"/>
                <w:szCs w:val="16"/>
                <w:b w:val="1"/>
                <w:bCs w:val="1"/>
                <w:color w:val="auto"/>
              </w:rPr>
              <w:t>Approximate dollar value of</w:t>
            </w:r>
          </w:p>
        </w:tc>
      </w:tr>
      <w:tr>
        <w:trPr>
          <w:trHeight w:val="203"/>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7"/>
                <w:szCs w:val="17"/>
                <w:color w:val="auto"/>
              </w:rPr>
            </w:pPr>
          </w:p>
        </w:tc>
        <w:tc>
          <w:tcPr>
            <w:tcW w:w="2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shares that may yet be purchased</w:t>
            </w:r>
          </w:p>
        </w:tc>
      </w:tr>
      <w:tr>
        <w:trPr>
          <w:trHeight w:val="189"/>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6"/>
                <w:szCs w:val="16"/>
                <w:color w:val="auto"/>
              </w:rPr>
            </w:pPr>
          </w:p>
        </w:tc>
        <w:tc>
          <w:tcPr>
            <w:tcW w:w="1660" w:type="dxa"/>
            <w:vAlign w:val="bottom"/>
            <w:gridSpan w:val="3"/>
          </w:tcPr>
          <w:p>
            <w:pPr>
              <w:ind w:left="60"/>
              <w:spacing w:after="0"/>
              <w:rPr>
                <w:sz w:val="20"/>
                <w:szCs w:val="20"/>
                <w:color w:val="auto"/>
              </w:rPr>
            </w:pPr>
            <w:r>
              <w:rPr>
                <w:rFonts w:ascii="Arial" w:cs="Arial" w:eastAsia="Arial" w:hAnsi="Arial"/>
                <w:sz w:val="16"/>
                <w:szCs w:val="16"/>
                <w:b w:val="1"/>
                <w:bCs w:val="1"/>
                <w:color w:val="auto"/>
              </w:rPr>
              <w:t>Average price paid</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publicly announced plans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jc w:val="center"/>
              <w:ind w:right="39"/>
              <w:spacing w:after="0"/>
              <w:rPr>
                <w:sz w:val="20"/>
                <w:szCs w:val="20"/>
                <w:color w:val="auto"/>
              </w:rPr>
            </w:pPr>
            <w:r>
              <w:rPr>
                <w:rFonts w:ascii="Arial" w:cs="Arial" w:eastAsia="Arial" w:hAnsi="Arial"/>
                <w:sz w:val="16"/>
                <w:szCs w:val="16"/>
                <w:b w:val="1"/>
                <w:bCs w:val="1"/>
                <w:color w:val="auto"/>
              </w:rPr>
              <w:t>under the plans or programs (in</w:t>
            </w:r>
          </w:p>
        </w:tc>
      </w:tr>
      <w:tr>
        <w:trPr>
          <w:trHeight w:val="244"/>
        </w:trPr>
        <w:tc>
          <w:tcPr>
            <w:tcW w:w="2700" w:type="dxa"/>
            <w:vAlign w:val="bottom"/>
            <w:tcBorders>
              <w:bottom w:val="single" w:sz="8" w:color="auto"/>
            </w:tcBorders>
          </w:tcPr>
          <w:p>
            <w:pPr>
              <w:ind w:left="110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or programs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millions)</w:t>
            </w:r>
          </w:p>
        </w:tc>
      </w:tr>
      <w:tr>
        <w:trPr>
          <w:trHeight w:val="237"/>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07/01/2024-07/31/2024</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80" w:type="dxa"/>
            <w:vAlign w:val="bottom"/>
            <w:shd w:val="clear" w:color="auto" w:fill="CCEEFF"/>
          </w:tcPr>
          <w:p>
            <w:pPr>
              <w:ind w:left="2340"/>
              <w:spacing w:after="0"/>
              <w:rPr>
                <w:sz w:val="20"/>
                <w:szCs w:val="20"/>
                <w:color w:val="auto"/>
              </w:rPr>
            </w:pPr>
            <w:r>
              <w:rPr>
                <w:rFonts w:ascii="Arial" w:cs="Arial" w:eastAsia="Arial" w:hAnsi="Arial"/>
                <w:sz w:val="16"/>
                <w:szCs w:val="16"/>
                <w:color w:val="auto"/>
              </w:rPr>
              <w:t>—</w:t>
            </w:r>
          </w:p>
        </w:tc>
      </w:tr>
      <w:tr>
        <w:trPr>
          <w:trHeight w:val="235"/>
        </w:trPr>
        <w:tc>
          <w:tcPr>
            <w:tcW w:w="2700" w:type="dxa"/>
            <w:vAlign w:val="bottom"/>
          </w:tcPr>
          <w:p>
            <w:pPr>
              <w:ind w:left="20"/>
              <w:spacing w:after="0"/>
              <w:rPr>
                <w:sz w:val="20"/>
                <w:szCs w:val="20"/>
                <w:color w:val="auto"/>
              </w:rPr>
            </w:pPr>
            <w:r>
              <w:rPr>
                <w:rFonts w:ascii="Arial" w:cs="Arial" w:eastAsia="Arial" w:hAnsi="Arial"/>
                <w:sz w:val="16"/>
                <w:szCs w:val="16"/>
                <w:color w:val="auto"/>
              </w:rPr>
              <w:t>08/01/2024-08/31/2024</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637</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580" w:type="dxa"/>
            <w:vAlign w:val="bottom"/>
          </w:tcPr>
          <w:p>
            <w:pPr>
              <w:ind w:left="2340"/>
              <w:spacing w:after="0"/>
              <w:rPr>
                <w:sz w:val="20"/>
                <w:szCs w:val="20"/>
                <w:color w:val="auto"/>
              </w:rPr>
            </w:pPr>
            <w:r>
              <w:rPr>
                <w:rFonts w:ascii="Arial" w:cs="Arial" w:eastAsia="Arial" w:hAnsi="Arial"/>
                <w:sz w:val="16"/>
                <w:szCs w:val="16"/>
                <w:color w:val="auto"/>
              </w:rPr>
              <w:t>—</w:t>
            </w:r>
          </w:p>
        </w:tc>
      </w:tr>
      <w:tr>
        <w:trPr>
          <w:trHeight w:val="244"/>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09/01/2024-09/30/2024</w:t>
            </w:r>
          </w:p>
        </w:tc>
        <w:tc>
          <w:tcPr>
            <w:tcW w:w="12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80" w:type="dxa"/>
            <w:vAlign w:val="bottom"/>
            <w:shd w:val="clear" w:color="auto" w:fill="CCEEFF"/>
          </w:tcPr>
          <w:p>
            <w:pPr>
              <w:ind w:left="2340"/>
              <w:spacing w:after="0"/>
              <w:rPr>
                <w:sz w:val="20"/>
                <w:szCs w:val="20"/>
                <w:color w:val="auto"/>
              </w:rPr>
            </w:pPr>
            <w:r>
              <w:rPr>
                <w:rFonts w:ascii="Arial" w:cs="Arial" w:eastAsia="Arial" w:hAnsi="Arial"/>
                <w:sz w:val="16"/>
                <w:szCs w:val="16"/>
                <w:color w:val="auto"/>
              </w:rPr>
              <w:t>—</w:t>
            </w:r>
          </w:p>
        </w:tc>
      </w:tr>
      <w:tr>
        <w:trPr>
          <w:trHeight w:val="243"/>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53" w:lineRule="exact"/>
        <w:rPr>
          <w:sz w:val="20"/>
          <w:szCs w:val="20"/>
          <w:color w:val="auto"/>
        </w:rPr>
      </w:pPr>
    </w:p>
    <w:p>
      <w:pPr>
        <w:ind w:firstLine="8"/>
        <w:spacing w:after="0" w:line="286" w:lineRule="auto"/>
        <w:tabs>
          <w:tab w:leader="none" w:pos="418"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no shares in July 2024, 637 shares in August 2024 and 1,004 shares in September 2024, which were purchased from employees to satisfy their payroll tax withholding obligations related to share-based awards that vested during those months.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months ended September 30, 2024,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p>
      <w:pPr>
        <w:ind w:left="20"/>
        <w:spacing w:after="0"/>
        <w:tabs>
          <w:tab w:leader="none" w:pos="57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p>
      <w:pPr>
        <w:ind w:left="1180" w:hanging="837"/>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59">
        <w:r>
          <w:rPr>
            <w:rFonts w:ascii="Arial" w:cs="Arial" w:eastAsia="Arial" w:hAnsi="Arial"/>
            <w:sz w:val="18"/>
            <w:szCs w:val="18"/>
            <w:u w:val="single" w:color="auto"/>
            <w:color w:val="0000FF"/>
          </w:rPr>
          <w:t>Amended and Restated Certificate of Incorporation of Open Lending Corporation (incorporated by reference to Exhibit 3.1 to</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Open Lending Corporation’s Current Report on Form 8-K filed June 15, 2020).</w:t>
        </w:r>
      </w:hyperlink>
    </w:p>
    <w:p>
      <w:pPr>
        <w:spacing w:after="0" w:line="45" w:lineRule="exact"/>
        <w:rPr>
          <w:sz w:val="20"/>
          <w:szCs w:val="20"/>
          <w:color w:val="auto"/>
        </w:rPr>
      </w:pPr>
    </w:p>
    <w:p>
      <w:pPr>
        <w:ind w:left="1180" w:hanging="837"/>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60">
        <w:r>
          <w:rPr>
            <w:rFonts w:ascii="Arial" w:cs="Arial" w:eastAsia="Arial" w:hAnsi="Arial"/>
            <w:sz w:val="18"/>
            <w:szCs w:val="18"/>
            <w:u w:val="single" w:color="auto"/>
            <w:color w:val="0000FF"/>
          </w:rPr>
          <w:t>Amended and Restated Bylaws of Open Lending Corporation (incorporated by reference to Exhibit 3.2 to Open Lending</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Corporation’s Current Report on Form 8-K filed June 15, 2020).</w:t>
        </w:r>
      </w:hyperlink>
    </w:p>
    <w:p>
      <w:pPr>
        <w:spacing w:after="0" w:line="45" w:lineRule="exact"/>
        <w:rPr>
          <w:sz w:val="20"/>
          <w:szCs w:val="20"/>
          <w:color w:val="auto"/>
        </w:rPr>
      </w:pPr>
    </w:p>
    <w:p>
      <w:pPr>
        <w:ind w:left="1180" w:right="300" w:hanging="887"/>
        <w:spacing w:after="0" w:line="268"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61">
        <w:r>
          <w:rPr>
            <w:rFonts w:ascii="Arial" w:cs="Arial" w:eastAsia="Arial" w:hAnsi="Arial"/>
            <w:sz w:val="18"/>
            <w:szCs w:val="18"/>
            <w:u w:val="single" w:color="auto"/>
            <w:color w:val="0000FF"/>
          </w:rPr>
          <w:t>Amended and Restated Employment Agreement by and between Open Lending Corporation and Charles D. Jehl, dated</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September 11, 2024 (incorporated by reference to Exhibit 10.1 to Open Lending Corporation’s Current Report on Form 8-K</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filed September 12, 2024).</w:t>
        </w:r>
      </w:hyperlink>
    </w:p>
    <w:p>
      <w:pPr>
        <w:spacing w:after="0" w:line="63" w:lineRule="exact"/>
        <w:rPr>
          <w:rFonts w:ascii="Arial" w:cs="Arial" w:eastAsia="Arial" w:hAnsi="Arial"/>
          <w:sz w:val="18"/>
          <w:szCs w:val="18"/>
          <w:u w:val="single" w:color="auto"/>
          <w:color w:val="0000FF"/>
        </w:rPr>
      </w:pPr>
    </w:p>
    <w:p>
      <w:pPr>
        <w:ind w:left="1180" w:right="160" w:hanging="922"/>
        <w:spacing w:after="0" w:line="287" w:lineRule="auto"/>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of the Chief Executive Officer and Interim Chief Financial Officer pursuant to Section 302 of the Sarbanes-Oxley Act of 2002.</w:t>
      </w:r>
    </w:p>
    <w:p>
      <w:pPr>
        <w:spacing w:after="0" w:line="45" w:lineRule="exact"/>
        <w:rPr>
          <w:rFonts w:ascii="Arial" w:cs="Arial" w:eastAsia="Arial" w:hAnsi="Arial"/>
          <w:sz w:val="18"/>
          <w:szCs w:val="18"/>
          <w:u w:val="single" w:color="auto"/>
          <w:color w:val="0000FF"/>
        </w:rPr>
      </w:pPr>
    </w:p>
    <w:p>
      <w:pPr>
        <w:ind w:left="1180" w:right="160" w:hanging="922"/>
        <w:spacing w:after="0" w:line="287" w:lineRule="auto"/>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of the Chief Executive Officer and Interim Chief Financial Officer pursuant to Section 906 of the Sarbanes-Oxley Act of 2002 (18 U.S.C. § 1350).</w:t>
      </w:r>
    </w:p>
    <w:p>
      <w:pPr>
        <w:spacing w:after="0" w:line="99" w:lineRule="exact"/>
        <w:rPr>
          <w:rFonts w:ascii="Arial" w:cs="Arial" w:eastAsia="Arial" w:hAnsi="Arial"/>
          <w:sz w:val="18"/>
          <w:szCs w:val="18"/>
          <w:u w:val="single" w:color="auto"/>
          <w:color w:val="0000FF"/>
        </w:rPr>
      </w:pPr>
    </w:p>
    <w:p>
      <w:pPr>
        <w:ind w:left="1180" w:hanging="899"/>
        <w:spacing w:after="0" w:line="287"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financial statements from Open Lending Corporation’s Quarterly Report on Form 10-Q for the quarterly period ended September 30, 2024, formatted in iXBRL (Inline eXtensible Business Reporting Language):</w:t>
      </w:r>
    </w:p>
    <w:p>
      <w:pPr>
        <w:spacing w:after="0" w:line="45" w:lineRule="exact"/>
        <w:rPr>
          <w:rFonts w:ascii="Arial" w:cs="Arial" w:eastAsia="Arial" w:hAnsi="Arial"/>
          <w:sz w:val="18"/>
          <w:szCs w:val="18"/>
          <w:u w:val="single" w:color="auto"/>
          <w:color w:val="0000FF"/>
        </w:rPr>
      </w:pPr>
    </w:p>
    <w:p>
      <w:pPr>
        <w:ind w:left="1380" w:hanging="207"/>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Condensed Consolidated Balance Sheets</w:t>
      </w:r>
    </w:p>
    <w:p>
      <w:pPr>
        <w:spacing w:after="0" w:line="117" w:lineRule="exact"/>
        <w:rPr>
          <w:rFonts w:ascii="Arial" w:cs="Arial" w:eastAsia="Arial" w:hAnsi="Arial"/>
          <w:sz w:val="18"/>
          <w:szCs w:val="18"/>
          <w:color w:val="auto"/>
        </w:rPr>
      </w:pPr>
    </w:p>
    <w:p>
      <w:pPr>
        <w:ind w:left="1420" w:hanging="247"/>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Condensed Consolidated Statement of Operations</w:t>
      </w:r>
    </w:p>
    <w:p>
      <w:pPr>
        <w:spacing w:after="0" w:line="117" w:lineRule="exact"/>
        <w:rPr>
          <w:rFonts w:ascii="Arial" w:cs="Arial" w:eastAsia="Arial" w:hAnsi="Arial"/>
          <w:sz w:val="18"/>
          <w:szCs w:val="18"/>
          <w:color w:val="auto"/>
        </w:rPr>
      </w:pPr>
    </w:p>
    <w:p>
      <w:pPr>
        <w:ind w:left="1460" w:hanging="287"/>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Condensed Consolidated Statements of Changes in Stockholders’ Equity</w:t>
      </w:r>
    </w:p>
    <w:p>
      <w:pPr>
        <w:spacing w:after="0" w:line="117" w:lineRule="exact"/>
        <w:rPr>
          <w:rFonts w:ascii="Arial" w:cs="Arial" w:eastAsia="Arial" w:hAnsi="Arial"/>
          <w:sz w:val="18"/>
          <w:szCs w:val="18"/>
          <w:color w:val="auto"/>
        </w:rPr>
      </w:pPr>
    </w:p>
    <w:p>
      <w:pPr>
        <w:ind w:left="1480" w:hanging="30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Condensed Consolidated Statements of Cash Flows</w:t>
      </w:r>
    </w:p>
    <w:p>
      <w:pPr>
        <w:spacing w:after="0" w:line="117" w:lineRule="exact"/>
        <w:rPr>
          <w:rFonts w:ascii="Arial" w:cs="Arial" w:eastAsia="Arial" w:hAnsi="Arial"/>
          <w:sz w:val="18"/>
          <w:szCs w:val="18"/>
          <w:color w:val="auto"/>
        </w:rPr>
      </w:pPr>
    </w:p>
    <w:p>
      <w:pPr>
        <w:ind w:left="1440" w:hanging="267"/>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w:t>
      </w:r>
    </w:p>
    <w:p>
      <w:pPr>
        <w:spacing w:after="0" w:line="117" w:lineRule="exact"/>
        <w:rPr>
          <w:rFonts w:ascii="Arial" w:cs="Arial" w:eastAsia="Arial" w:hAnsi="Arial"/>
          <w:sz w:val="18"/>
          <w:szCs w:val="18"/>
          <w:u w:val="single" w:color="auto"/>
          <w:color w:val="0000FF"/>
        </w:rPr>
      </w:pPr>
    </w:p>
    <w:p>
      <w:pPr>
        <w:ind w:left="32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u w:val="single" w:color="auto"/>
          <w:color w:val="0000FF"/>
        </w:rPr>
      </w:pPr>
    </w:p>
    <w:p>
      <w:pPr>
        <w:spacing w:after="0" w:line="376" w:lineRule="exact"/>
        <w:rPr>
          <w:rFonts w:ascii="Arial" w:cs="Arial" w:eastAsia="Arial" w:hAnsi="Arial"/>
          <w:sz w:val="18"/>
          <w:szCs w:val="18"/>
          <w:u w:val="single" w:color="auto"/>
          <w:color w:val="0000FF"/>
        </w:rPr>
      </w:pPr>
    </w:p>
    <w:p>
      <w:pPr>
        <w:ind w:left="1180" w:hanging="755"/>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u w:val="single" w:color="auto"/>
          <w:color w:val="0000FF"/>
        </w:rPr>
      </w:pPr>
    </w:p>
    <w:p>
      <w:pPr>
        <w:ind w:left="1180" w:hanging="790"/>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97"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20"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3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OPEN LENDING CORPORATION</w:t>
            </w:r>
          </w:p>
        </w:tc>
      </w:tr>
      <w:tr>
        <w:trPr>
          <w:trHeight w:val="540"/>
        </w:trPr>
        <w:tc>
          <w:tcPr>
            <w:tcW w:w="530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/s/ Charles D. Jehl</w:t>
            </w:r>
          </w:p>
        </w:tc>
      </w:tr>
      <w:tr>
        <w:trPr>
          <w:trHeight w:val="23"/>
        </w:trPr>
        <w:tc>
          <w:tcPr>
            <w:tcW w:w="530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41"/>
        </w:trPr>
        <w:tc>
          <w:tcPr>
            <w:tcW w:w="53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247"/>
        </w:trPr>
        <w:tc>
          <w:tcPr>
            <w:tcW w:w="5300" w:type="dxa"/>
            <w:vAlign w:val="bottom"/>
          </w:tcPr>
          <w:p>
            <w:pPr>
              <w:spacing w:after="0"/>
              <w:rPr>
                <w:sz w:val="20"/>
                <w:szCs w:val="20"/>
                <w:color w:val="auto"/>
              </w:rPr>
            </w:pPr>
            <w:r>
              <w:rPr>
                <w:rFonts w:ascii="Arial" w:cs="Arial" w:eastAsia="Arial" w:hAnsi="Arial"/>
                <w:sz w:val="18"/>
                <w:szCs w:val="18"/>
                <w:color w:val="auto"/>
              </w:rPr>
              <w:t>November 8, 2024</w:t>
            </w: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 and Interim Chief Financial Officer</w:t>
            </w:r>
          </w:p>
        </w:tc>
      </w:tr>
      <w:tr>
        <w:trPr>
          <w:trHeight w:val="239"/>
        </w:trPr>
        <w:tc>
          <w:tcPr>
            <w:tcW w:w="53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(Principal Executive,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D. Jehl, certify that:</w:t>
      </w:r>
    </w:p>
    <w:p>
      <w:pPr>
        <w:spacing w:after="0" w:line="117"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right="20" w:hanging="486"/>
        <w:spacing w:after="0" w:line="268" w:lineRule="auto"/>
        <w:tabs>
          <w:tab w:leader="none" w:pos="9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sz w:val="20"/>
          <w:szCs w:val="20"/>
          <w:color w:val="auto"/>
        </w:rPr>
      </w:pPr>
    </w:p>
    <w:p>
      <w:pPr>
        <w:jc w:val="both"/>
        <w:ind w:left="980" w:hanging="486"/>
        <w:spacing w:after="0" w:line="268" w:lineRule="auto"/>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sz w:val="20"/>
          <w:szCs w:val="20"/>
          <w:color w:val="auto"/>
        </w:rPr>
      </w:pPr>
    </w:p>
    <w:p>
      <w:pPr>
        <w:jc w:val="both"/>
        <w:ind w:left="980" w:hanging="486"/>
        <w:spacing w:after="0" w:line="268" w:lineRule="auto"/>
        <w:tabs>
          <w:tab w:leader="none" w:pos="9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sz w:val="20"/>
          <w:szCs w:val="20"/>
          <w:color w:val="auto"/>
        </w:rPr>
      </w:pPr>
    </w:p>
    <w:p>
      <w:pPr>
        <w:jc w:val="both"/>
        <w:ind w:left="980" w:hanging="486"/>
        <w:spacing w:after="0" w:line="268" w:lineRule="auto"/>
        <w:tabs>
          <w:tab w:leader="none" w:pos="9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460" w:hanging="480"/>
        <w:spacing w:after="0" w:line="287"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300" w:type="dxa"/>
            <w:vAlign w:val="bottom"/>
          </w:tcPr>
          <w:p>
            <w:pPr>
              <w:spacing w:after="0"/>
              <w:rPr>
                <w:sz w:val="20"/>
                <w:szCs w:val="20"/>
                <w:color w:val="auto"/>
              </w:rPr>
            </w:pPr>
            <w:r>
              <w:rPr>
                <w:rFonts w:ascii="Arial" w:cs="Arial" w:eastAsia="Arial" w:hAnsi="Arial"/>
                <w:sz w:val="18"/>
                <w:szCs w:val="18"/>
                <w:color w:val="auto"/>
              </w:rPr>
              <w:t>Date: November 8, 2024</w:t>
            </w: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D. Jehl</w:t>
            </w:r>
          </w:p>
        </w:tc>
      </w:tr>
      <w:tr>
        <w:trPr>
          <w:trHeight w:val="218"/>
        </w:trPr>
        <w:tc>
          <w:tcPr>
            <w:tcW w:w="530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81"/>
        </w:trPr>
        <w:tc>
          <w:tcPr>
            <w:tcW w:w="5300" w:type="dxa"/>
            <w:vAlign w:val="bottom"/>
          </w:tcPr>
          <w:p>
            <w:pPr>
              <w:spacing w:after="0"/>
              <w:rPr>
                <w:sz w:val="15"/>
                <w:szCs w:val="15"/>
                <w:color w:val="auto"/>
              </w:rPr>
            </w:pPr>
          </w:p>
        </w:tc>
        <w:tc>
          <w:tcPr>
            <w:tcW w:w="5920" w:type="dxa"/>
            <w:vAlign w:val="bottom"/>
          </w:tcPr>
          <w:p>
            <w:pPr>
              <w:ind w:left="20"/>
              <w:spacing w:after="0" w:line="181" w:lineRule="exact"/>
              <w:rPr>
                <w:sz w:val="20"/>
                <w:szCs w:val="20"/>
                <w:color w:val="auto"/>
              </w:rPr>
            </w:pPr>
            <w:r>
              <w:rPr>
                <w:rFonts w:ascii="Arial" w:cs="Arial" w:eastAsia="Arial" w:hAnsi="Arial"/>
                <w:sz w:val="18"/>
                <w:szCs w:val="18"/>
                <w:color w:val="auto"/>
              </w:rPr>
              <w:t>Chief Executive Officer and Interim Chief Financial Officer</w:t>
            </w:r>
          </w:p>
        </w:tc>
      </w:tr>
      <w:tr>
        <w:trPr>
          <w:trHeight w:val="239"/>
        </w:trPr>
        <w:tc>
          <w:tcPr>
            <w:tcW w:w="53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(Principal Executive, Financial and Accounting Officer)</w:t>
            </w:r>
          </w:p>
        </w:tc>
      </w:tr>
    </w:tbl>
    <w:p>
      <w:pPr>
        <w:sectPr>
          <w:pgSz w:w="11900" w:h="16838" w:orient="portrait"/>
          <w:cols w:equalWidth="0" w:num="1">
            <w:col w:w="11240"/>
          </w:cols>
          <w:pgMar w:left="320" w:top="1106"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for the fiscal quarter ended September 30, 2024 of Open Lending Corporation, a Delaware corporation (the “Company”), as filed with the Securities and Exchange Commission on the date hereof (the “Form 10-Q”), I, Charles D. Jehl, Chief Executive Officer and Interim Chief Financial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500" w:right="640" w:hanging="492"/>
        <w:spacing w:after="0" w:line="287" w:lineRule="auto"/>
        <w:tabs>
          <w:tab w:leader="none" w:pos="4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section 15(d) of the Securities Exchange Act of 1934, as amended; and</w:t>
      </w:r>
    </w:p>
    <w:p>
      <w:pPr>
        <w:spacing w:after="0" w:line="44" w:lineRule="exact"/>
        <w:rPr>
          <w:rFonts w:ascii="Arial" w:cs="Arial" w:eastAsia="Arial" w:hAnsi="Arial"/>
          <w:sz w:val="18"/>
          <w:szCs w:val="18"/>
          <w:color w:val="auto"/>
        </w:rPr>
      </w:pPr>
    </w:p>
    <w:p>
      <w:pPr>
        <w:ind w:left="500" w:right="300" w:hanging="492"/>
        <w:spacing w:after="0" w:line="287" w:lineRule="auto"/>
        <w:tabs>
          <w:tab w:leader="none" w:pos="4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 of operations of the Company.</w:t>
      </w:r>
    </w:p>
    <w:p>
      <w:pPr>
        <w:spacing w:after="0" w:line="7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Charles D.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17780</wp:posOffset>
            </wp:positionV>
            <wp:extent cx="38404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Charles D. Jehl</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 and Interim Chief Financial Officer</w:t>
      </w:r>
    </w:p>
    <w:p>
      <w:pPr>
        <w:ind w:left="5220"/>
        <w:spacing w:after="0"/>
        <w:rPr>
          <w:sz w:val="20"/>
          <w:szCs w:val="20"/>
          <w:color w:val="auto"/>
        </w:rPr>
      </w:pPr>
      <w:r>
        <w:rPr>
          <w:rFonts w:ascii="Arial" w:cs="Arial" w:eastAsia="Arial" w:hAnsi="Arial"/>
          <w:sz w:val="18"/>
          <w:szCs w:val="18"/>
          <w:color w:val="auto"/>
        </w:rPr>
        <w:t>(Principal Executive, Financial and Accounting Officer)</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November 8, 2024</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Roman"/>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bullet"/>
      <w:start w:val="1"/>
    </w:lvl>
  </w:abstractNum>
  <w:abstractNum w:abstractNumId="11">
    <w:nsid w:val="DED7263"/>
    <w:multiLevelType w:val="hybridMultilevel"/>
    <w:lvl w:ilvl="0">
      <w:lvlJc w:val="left"/>
      <w:lvlText w:val="2"/>
      <w:numFmt w:val="bullet"/>
      <w:start w:val="1"/>
    </w:lvl>
  </w:abstractNum>
  <w:abstractNum w:abstractNumId="12">
    <w:nsid w:val="7FDCC233"/>
    <w:multiLevelType w:val="hybridMultilevel"/>
    <w:lvl w:ilvl="0">
      <w:lvlJc w:val="left"/>
      <w:lvlText w:val="3"/>
      <w:numFmt w:val="bullet"/>
      <w:start w:val="1"/>
    </w:lvl>
  </w:abstractNum>
  <w:abstractNum w:abstractNumId="13">
    <w:nsid w:val="1BEFD79F"/>
    <w:multiLevelType w:val="hybridMultilevel"/>
    <w:lvl w:ilvl="0">
      <w:lvlJc w:val="left"/>
      <w:lvlText w:val="4"/>
      <w:numFmt w:val="bullet"/>
      <w:start w:val="1"/>
    </w:lvl>
    <w:lvl w:ilvl="1">
      <w:lvlJc w:val="left"/>
      <w:lvlText w:val="%2)"/>
      <w:numFmt w:val="lowerLetter"/>
      <w:start w:val="1"/>
    </w:lvl>
  </w:abstractNum>
  <w:abstractNum w:abstractNumId="14">
    <w:nsid w:val="41A7C4C9"/>
    <w:multiLevelType w:val="hybridMultilevel"/>
    <w:lvl w:ilvl="0">
      <w:lvlJc w:val="left"/>
      <w:lvlText w:val="5"/>
      <w:numFmt w:val="bullet"/>
      <w:start w:val="1"/>
    </w:lvl>
    <w:lvl w:ilvl="1">
      <w:lvlJc w:val="left"/>
      <w:lvlText w:val="%2)"/>
      <w:numFmt w:val="lowerLetter"/>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59" Type="http://schemas.openxmlformats.org/officeDocument/2006/relationships/hyperlink" Target="https://www.sec.gov/Archives/edgar/data/1806201/000119312520169633/d941403dex31.htm" TargetMode="External"/><Relationship Id="rId60" Type="http://schemas.openxmlformats.org/officeDocument/2006/relationships/hyperlink" Target="https://www.sec.gov/Archives/edgar/data/1806201/000119312520169633/d941403dex32.htm" TargetMode="External"/><Relationship Id="rId61" Type="http://schemas.openxmlformats.org/officeDocument/2006/relationships/hyperlink" Target="https://www.sec.gov/Archives/edgar/data/1806201/000180620124000128/lrpo-jehlareafinalxedg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2024-11-08T16:00:45Z</dcterms:created>
  <dcterms:modified xsi:type="dcterms:W3CDTF">2024-11-08T16:00:45Z</dcterms:modified>
</cp:coreProperties>
</file>