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Open Lending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Whetstone Capital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KANSAS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22"/>
          <w:szCs w:val="22"/>
          <w:color w:val="auto"/>
        </w:rPr>
        <w:t>5 Sole Voting Power</w:t>
      </w:r>
    </w:p>
    <w:p>
      <w:pPr>
        <w:spacing w:after="0" w:line="2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3,799,105.00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3,799,105.00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3,799,105.00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 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Atterbury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3,799,105.00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3,799,105.00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3,799,105.00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spacing w:after="0" w:line="125" w:lineRule="exact"/>
        <w:rPr>
          <w:sz w:val="20"/>
          <w:szCs w:val="20"/>
          <w:color w:val="auto"/>
        </w:rPr>
      </w:pPr>
    </w:p>
    <w:p>
      <w:pPr>
        <w:ind w:left="1120" w:right="570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963"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Open Lending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1501 S. MOPAC EXPRESSWAY, 1501 S. MOPAC EXPRESSWAY, AUSTIN, TEXAS, 78746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Whetstone Capital Advisors, LLC ("WCA") and Mr. David Atterbury (collectively the "Reporting Persons").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2001 Shawnee Mission Parkway, Shawnee Mission, Kansas 66205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3,799,105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963"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3.2%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1180" w:hanging="254"/>
        <w:spacing w:after="0"/>
        <w:tabs>
          <w:tab w:leader="none" w:pos="118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920" w:right="5740" w:firstLine="6"/>
        <w:spacing w:after="0" w:line="489" w:lineRule="auto"/>
        <w:tabs>
          <w:tab w:leader="none" w:pos="1238"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3,799,105</w:t>
      </w:r>
    </w:p>
    <w:p>
      <w:pPr>
        <w:sectPr>
          <w:pgSz w:w="11900" w:h="16963"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3,799,105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Whetstone Capital Advisors, LLC</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Atterbury</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David Atterbury</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Atterbury</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David Atterbury</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sectPr>
      <w:pgSz w:w="11900" w:h="16838" w:orient="portrait"/>
      <w:cols w:equalWidth="0" w:num="1">
        <w:col w:w="11140"/>
      </w:cols>
      <w:pgMar w:left="360" w:top="409"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3"/>
    </w:lvl>
    <w:lvl w:ilvl="1">
      <w:lvlJc w:val="left"/>
      <w:lvlText w:val="(%2)"/>
      <w:numFmt w:val="lowerRoman"/>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2026-05-01T16:18:50Z</dcterms:created>
  <dcterms:modified xsi:type="dcterms:W3CDTF">2026-05-01T16:18:50Z</dcterms:modified>
</cp:coreProperties>
</file>