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quarterly period ended March 31, 2026</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transition period from ______________ to 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001-39326</w:t>
      </w:r>
    </w:p>
    <w:p>
      <w:pPr>
        <w:pStyle w:val="TextBody"/>
        <w:bidi w:val="0"/>
        <w:spacing w:before="200" w:after="283"/>
        <w:jc w:val="center"/>
        <w:rPr/>
      </w:pPr>
      <w:r>
        <w:rPr/>
        <w:drawing>
          <wp:inline distT="0" distB="0" distL="0" distR="0">
            <wp:extent cx="2381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3714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48"/>
        </w:rPr>
      </w:pPr>
      <w:r>
        <w:rPr>
          <w:rFonts w:ascii="Arial;sans-serif" w:hAnsi="Arial;sans-serif"/>
          <w:b/>
          <w:color w:val="000000"/>
          <w:sz w:val="48"/>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before="120" w:after="283"/>
        <w:jc w:val="center"/>
        <w:rPr/>
      </w:pPr>
      <w:r>
        <w:rPr/>
      </w:r>
    </w:p>
    <w:tbl>
      <w:tblPr>
        <w:tblW w:w="4799" w:type="dxa"/>
        <w:jc w:val="left"/>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84-5031428</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1501 S. MoPac Expressway</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Suite 450</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Austin, Texas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78746</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Registrant’s telephone number, including area code: (512) 892-0400</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As of May 5, 2026, the registrant </w:t>
      </w:r>
      <w:r>
        <w:rPr>
          <w:rFonts w:ascii="Arial;sans-serif" w:hAnsi="Arial;sans-serif"/>
          <w:b w:val="false"/>
          <w:color w:val="000000"/>
          <w:sz w:val="20"/>
          <w:shd w:fill="FFFFFF" w:val="clear"/>
        </w:rPr>
        <w:t>had</w:t>
      </w:r>
      <w:r>
        <w:rPr>
          <w:color w:val="000000"/>
        </w:rPr>
        <w:t xml:space="preserve"> </w:t>
      </w:r>
      <w:r>
        <w:rPr>
          <w:rFonts w:ascii="Arial;sans-serif" w:hAnsi="Arial;sans-serif"/>
          <w:b w:val="false"/>
          <w:color w:val="000000"/>
          <w:sz w:val="20"/>
        </w:rPr>
        <w:t>118,217,082</w:t>
      </w:r>
      <w:r>
        <w:rPr>
          <w:color w:val="000000"/>
          <w:shd w:fill="FFFFFF" w:val="clear"/>
        </w:rPr>
        <w:t xml:space="preserve"> </w:t>
      </w:r>
      <w:r>
        <w:rPr>
          <w:rFonts w:ascii="Arial;sans-serif" w:hAnsi="Arial;sans-serif"/>
          <w:b w:val="false"/>
          <w:color w:val="000000"/>
          <w:sz w:val="20"/>
          <w:shd w:fill="FFFFFF" w:val="clear"/>
        </w:rPr>
        <w:t>sh</w:t>
      </w:r>
      <w:r>
        <w:rPr>
          <w:rFonts w:ascii="Arial;sans-serif" w:hAnsi="Arial;sans-serif"/>
          <w:b w:val="false"/>
          <w:color w:val="000000"/>
          <w:sz w:val="20"/>
        </w:rPr>
        <w:t>ares of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before="60" w:after="283"/>
        <w:jc w:val="both"/>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TABLE OF CONTENTS</w:t>
      </w:r>
    </w:p>
    <w:tbl>
      <w:tblPr>
        <w:tblW w:w="9766" w:type="dxa"/>
        <w:jc w:val="left"/>
        <w:tblInd w:w="0" w:type="dxa"/>
        <w:tblLayout w:type="fixed"/>
        <w:tblCellMar>
          <w:top w:w="28" w:type="dxa"/>
          <w:left w:w="28" w:type="dxa"/>
          <w:bottom w:w="28" w:type="dxa"/>
          <w:right w:w="28" w:type="dxa"/>
        </w:tblCellMar>
      </w:tblPr>
      <w:tblGrid>
        <w:gridCol w:w="505"/>
        <w:gridCol w:w="443"/>
        <w:gridCol w:w="448"/>
        <w:gridCol w:w="2612"/>
        <w:gridCol w:w="2612"/>
        <w:gridCol w:w="2620"/>
        <w:gridCol w:w="154"/>
        <w:gridCol w:w="154"/>
        <w:gridCol w:w="218"/>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Page</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0">
              <w:r>
                <w:rPr>
                  <w:rStyle w:val="InternetLink"/>
                  <w:rFonts w:ascii="Arial;sans-serif" w:hAnsi="Arial;sans-serif"/>
                  <w:b/>
                  <w:strike w:val="false"/>
                  <w:dstrike w:val="false"/>
                  <w:color w:val="000000"/>
                  <w:sz w:val="20"/>
                  <w:u w:val="none"/>
                  <w:effect w:val="none"/>
                </w:rPr>
                <w:t>PART 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0">
              <w:r>
                <w:rPr>
                  <w:rStyle w:val="InternetLink"/>
                  <w:rFonts w:ascii="Arial;sans-serif" w:hAnsi="Arial;sans-serif"/>
                  <w:b w:val="false"/>
                  <w:color w:val="0000FF"/>
                  <w:sz w:val="20"/>
                  <w:u w:val="single"/>
                </w:rPr>
                <w:t>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3">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3">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
              <w:r>
                <w:rPr>
                  <w:rStyle w:val="InternetLink"/>
                  <w:rFonts w:ascii="Arial;sans-serif" w:hAnsi="Arial;sans-serif"/>
                  <w:b w:val="false"/>
                  <w:color w:val="0000FF"/>
                  <w:sz w:val="20"/>
                  <w:u w:val="single"/>
                </w:rPr>
                <w:t>Condensed Consolidated Balance Sheets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6">
              <w:r>
                <w:rPr>
                  <w:rStyle w:val="InternetLink"/>
                  <w:rFonts w:ascii="Arial;sans-serif" w:hAnsi="Arial;sans-serif"/>
                  <w:b w:val="false"/>
                  <w:strike w:val="false"/>
                  <w:dstrike w:val="false"/>
                  <w:color w:val="000000"/>
                  <w:sz w:val="20"/>
                  <w:u w:val="none"/>
                  <w:effect w:val="none"/>
                </w:rPr>
                <w:t>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9">
              <w:r>
                <w:rPr>
                  <w:rStyle w:val="InternetLink"/>
                  <w:rFonts w:ascii="Arial;sans-serif" w:hAnsi="Arial;sans-serif"/>
                  <w:b w:val="false"/>
                  <w:color w:val="0000FF"/>
                  <w:sz w:val="20"/>
                  <w:u w:val="single"/>
                </w:rPr>
                <w:t>Condensed Consolidated Statements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9">
              <w:r>
                <w:rPr>
                  <w:rStyle w:val="InternetLink"/>
                  <w:rFonts w:ascii="Arial;sans-serif" w:hAnsi="Arial;sans-serif"/>
                  <w:b w:val="false"/>
                  <w:strike w:val="false"/>
                  <w:dstrike w:val="false"/>
                  <w:color w:val="000000"/>
                  <w:sz w:val="20"/>
                  <w:u w:val="none"/>
                  <w:effect w:val="none"/>
                </w:rPr>
                <w:t>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25">
              <w:r>
                <w:rPr>
                  <w:rStyle w:val="InternetLink"/>
                  <w:rFonts w:ascii="Arial;sans-serif" w:hAnsi="Arial;sans-serif"/>
                  <w:b w:val="false"/>
                  <w:color w:val="0000FF"/>
                  <w:sz w:val="20"/>
                  <w:u w:val="single"/>
                </w:rPr>
                <w:t>Condensed Consolidated Statements of Changes in Stockholders’ Equity</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25">
              <w:r>
                <w:rPr>
                  <w:rStyle w:val="InternetLink"/>
                  <w:rFonts w:ascii="Arial;sans-serif" w:hAnsi="Arial;sans-serif"/>
                  <w:b w:val="false"/>
                  <w:strike w:val="false"/>
                  <w:dstrike w:val="false"/>
                  <w:color w:val="000000"/>
                  <w:sz w:val="20"/>
                  <w:u w:val="none"/>
                  <w:effect w:val="non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28">
              <w:r>
                <w:rPr>
                  <w:rStyle w:val="InternetLink"/>
                  <w:rFonts w:ascii="Arial;sans-serif" w:hAnsi="Arial;sans-serif"/>
                  <w:b w:val="false"/>
                  <w:color w:val="0000FF"/>
                  <w:sz w:val="20"/>
                  <w:u w:val="single"/>
                </w:rPr>
                <w:t>Condensed Consolidated Statements of Cash Flows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28">
              <w:r>
                <w:rPr>
                  <w:rStyle w:val="InternetLink"/>
                  <w:rFonts w:ascii="Arial;sans-serif" w:hAnsi="Arial;sans-serif"/>
                  <w:b w:val="false"/>
                  <w:strike w:val="false"/>
                  <w:dstrike w:val="false"/>
                  <w:color w:val="000000"/>
                  <w:sz w:val="20"/>
                  <w:u w:val="none"/>
                  <w:effect w:val="non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31">
              <w:r>
                <w:rPr>
                  <w:rStyle w:val="InternetLink"/>
                  <w:rFonts w:ascii="Arial;sans-serif" w:hAnsi="Arial;sans-serif"/>
                  <w:b w:val="false"/>
                  <w:color w:val="0000FF"/>
                  <w:sz w:val="20"/>
                  <w:u w:val="single"/>
                </w:rPr>
                <w:t>Notes to 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31">
              <w:r>
                <w:rPr>
                  <w:rStyle w:val="InternetLink"/>
                  <w:rFonts w:ascii="Arial;sans-serif" w:hAnsi="Arial;sans-serif"/>
                  <w:b w:val="false"/>
                  <w:strike w:val="false"/>
                  <w:dstrike w:val="false"/>
                  <w:color w:val="000000"/>
                  <w:sz w:val="20"/>
                  <w:u w:val="none"/>
                  <w:effect w:val="non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88">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88">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88">
              <w:r>
                <w:rPr>
                  <w:rStyle w:val="InternetLink"/>
                  <w:rFonts w:ascii="Arial;sans-serif" w:hAnsi="Arial;sans-serif"/>
                  <w:b w:val="false"/>
                  <w:strike w:val="false"/>
                  <w:dstrike w:val="false"/>
                  <w:color w:val="000000"/>
                  <w:sz w:val="20"/>
                  <w:u w:val="none"/>
                  <w:effect w:val="none"/>
                </w:rPr>
                <w:t>16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45">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45">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45">
              <w:r>
                <w:rPr>
                  <w:rStyle w:val="InternetLink"/>
                  <w:rFonts w:ascii="Arial;sans-serif" w:hAnsi="Arial;sans-serif"/>
                  <w:b w:val="false"/>
                  <w:strike w:val="false"/>
                  <w:dstrike w:val="false"/>
                  <w:color w:val="000000"/>
                  <w:sz w:val="20"/>
                  <w:u w:val="none"/>
                  <w:effect w:val="none"/>
                </w:rPr>
                <w:t>27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48">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48">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48">
              <w:r>
                <w:rPr>
                  <w:rStyle w:val="InternetLink"/>
                  <w:rFonts w:ascii="Arial;sans-serif" w:hAnsi="Arial;sans-serif"/>
                  <w:b w:val="false"/>
                  <w:strike w:val="false"/>
                  <w:dstrike w:val="false"/>
                  <w:color w:val="000000"/>
                  <w:sz w:val="20"/>
                  <w:u w:val="none"/>
                  <w:effect w:val="none"/>
                </w:rPr>
                <w:t>28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1">
              <w:r>
                <w:rPr>
                  <w:rStyle w:val="InternetLink"/>
                  <w:rFonts w:ascii="Arial;sans-serif" w:hAnsi="Arial;sans-serif"/>
                  <w:b/>
                  <w:strike w:val="false"/>
                  <w:dstrike w:val="false"/>
                  <w:color w:val="000000"/>
                  <w:sz w:val="20"/>
                  <w:u w:val="none"/>
                  <w:effect w:val="non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1">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51">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4">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4">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54">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7">
              <w:r>
                <w:rPr>
                  <w:rStyle w:val="InternetLink"/>
                  <w:rFonts w:ascii="Arial;sans-serif" w:hAnsi="Arial;sans-serif"/>
                  <w:b w:val="false"/>
                  <w:strike w:val="false"/>
                  <w:dstrike w:val="false"/>
                  <w:color w:val="000000"/>
                  <w:sz w:val="20"/>
                  <w:u w:val="none"/>
                  <w:effect w:val="non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57">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57">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0">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0">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60">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3">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3">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63">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6">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6">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66">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9">
              <w:r>
                <w:rPr>
                  <w:rStyle w:val="InternetLink"/>
                  <w:rFonts w:ascii="Arial;sans-serif" w:hAnsi="Arial;sans-serif"/>
                  <w:b w:val="false"/>
                  <w:strike w:val="false"/>
                  <w:dstrike w:val="false"/>
                  <w:color w:val="000000"/>
                  <w:sz w:val="20"/>
                  <w:u w:val="none"/>
                  <w:effect w:val="none"/>
                </w:rPr>
                <w:t>Item 5.</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69">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69">
              <w:r>
                <w:rPr>
                  <w:rStyle w:val="InternetLink"/>
                  <w:rFonts w:ascii="Arial;sans-serif" w:hAnsi="Arial;sans-serif"/>
                  <w:b w:val="false"/>
                  <w:strike w:val="false"/>
                  <w:dstrike w:val="false"/>
                  <w:color w:val="000000"/>
                  <w:sz w:val="20"/>
                  <w:u w:val="none"/>
                  <w:effect w:val="none"/>
                </w:rPr>
                <w:t>29</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72">
              <w:r>
                <w:rPr>
                  <w:rStyle w:val="InternetLink"/>
                  <w:rFonts w:ascii="Arial;sans-serif" w:hAnsi="Arial;sans-serif"/>
                  <w:b w:val="false"/>
                  <w:strike w:val="false"/>
                  <w:dstrike w:val="false"/>
                  <w:color w:val="000000"/>
                  <w:sz w:val="20"/>
                  <w:u w:val="none"/>
                  <w:effect w:val="non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72">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72">
              <w:r>
                <w:rPr>
                  <w:rStyle w:val="InternetLink"/>
                  <w:rFonts w:ascii="Arial;sans-serif" w:hAnsi="Arial;sans-serif"/>
                  <w:b w:val="false"/>
                  <w:strike w:val="false"/>
                  <w:dstrike w:val="false"/>
                  <w:color w:val="000000"/>
                  <w:sz w:val="20"/>
                  <w:u w:val="none"/>
                  <w:effect w:val="none"/>
                </w:rPr>
                <w:t>30</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d27a24d0294b6594f0fb5f4988a9c0_175">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d27a24d0294b6594f0fb5f4988a9c0_175">
              <w:r>
                <w:rPr>
                  <w:rStyle w:val="InternetLink"/>
                  <w:rFonts w:ascii="Arial;sans-serif" w:hAnsi="Arial;sans-serif"/>
                  <w:b w:val="false"/>
                  <w:strike w:val="false"/>
                  <w:dstrike w:val="false"/>
                  <w:color w:val="000000"/>
                  <w:sz w:val="20"/>
                  <w:u w:val="none"/>
                  <w:effect w:val="none"/>
                </w:rPr>
                <w:t>31</w:t>
              </w:r>
            </w:hyperlink>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150"/>
                <wp:effectExtent l="0" t="0" r="0" b="0"/>
                <wp:wrapNone/>
                <wp:docPr id="4" name="Frame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3"/>
        <w:gridCol w:w="2263"/>
        <w:gridCol w:w="2247"/>
        <w:gridCol w:w="211"/>
        <w:gridCol w:w="856"/>
        <w:gridCol w:w="109"/>
        <w:gridCol w:w="109"/>
        <w:gridCol w:w="109"/>
        <w:gridCol w:w="109"/>
        <w:gridCol w:w="220"/>
        <w:gridCol w:w="895"/>
        <w:gridCol w:w="164"/>
      </w:tblGrid>
      <w:tr>
        <w:trPr/>
        <w:tc>
          <w:tcPr>
            <w:tcW w:w="291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176,614 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222,687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236,679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excess profit share receipts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49,258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155,772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161,719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none issued and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118,217,082 shares outstanding as of March 31, 2026 and 128,198,185 shares issued and 117,660,648 shares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497,663 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(332,995)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9,981,103 shares at March 31, 2026 and 10,537,537 shares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(90,990)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74,960</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231,087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236,679</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150"/>
                <wp:effectExtent l="0" t="0" r="0" b="0"/>
                <wp:wrapNone/>
                <wp:docPr id="5" name="Frame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60" w:after="283"/>
        <w:jc w:val="center"/>
        <w:rPr/>
      </w:pPr>
      <w:r>
        <w:rPr/>
      </w:r>
    </w:p>
    <w:tbl>
      <w:tblPr>
        <w:tblW w:w="7600" w:type="dxa"/>
        <w:jc w:val="center"/>
        <w:tblInd w:w="0" w:type="dxa"/>
        <w:tblLayout w:type="fixed"/>
        <w:tblCellMar>
          <w:top w:w="28" w:type="dxa"/>
          <w:left w:w="28" w:type="dxa"/>
          <w:bottom w:w="28" w:type="dxa"/>
          <w:right w:w="28" w:type="dxa"/>
        </w:tblCellMar>
      </w:tblPr>
      <w:tblGrid>
        <w:gridCol w:w="1630"/>
        <w:gridCol w:w="1428"/>
        <w:gridCol w:w="1442"/>
        <w:gridCol w:w="260"/>
        <w:gridCol w:w="927"/>
        <w:gridCol w:w="134"/>
        <w:gridCol w:w="134"/>
        <w:gridCol w:w="134"/>
        <w:gridCol w:w="134"/>
        <w:gridCol w:w="260"/>
        <w:gridCol w:w="927"/>
        <w:gridCol w:w="190"/>
      </w:tblGrid>
      <w:tr>
        <w:trPr/>
        <w:tc>
          <w:tcPr>
            <w:tcW w:w="163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20,491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24,393</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15,637</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18,309</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16,270</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17,547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762</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(470)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673</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150"/>
                <wp:effectExtent l="0" t="0" r="0" b="0"/>
                <wp:wrapNone/>
                <wp:docPr id="6" name="Frame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60" w:after="283"/>
        <w:jc w:val="center"/>
        <w:rPr/>
      </w:pPr>
      <w:r>
        <w:rPr/>
      </w:r>
    </w:p>
    <w:tbl>
      <w:tblPr>
        <w:tblW w:w="11689" w:type="dxa"/>
        <w:jc w:val="left"/>
        <w:tblInd w:w="0" w:type="dxa"/>
        <w:tblLayout w:type="fixed"/>
        <w:tblCellMar>
          <w:top w:w="28" w:type="dxa"/>
          <w:left w:w="28" w:type="dxa"/>
          <w:bottom w:w="28" w:type="dxa"/>
          <w:right w:w="28" w:type="dxa"/>
        </w:tblCellMar>
      </w:tblPr>
      <w:tblGrid>
        <w:gridCol w:w="666"/>
        <w:gridCol w:w="334"/>
        <w:gridCol w:w="336"/>
        <w:gridCol w:w="109"/>
        <w:gridCol w:w="109"/>
        <w:gridCol w:w="109"/>
        <w:gridCol w:w="428"/>
        <w:gridCol w:w="428"/>
        <w:gridCol w:w="241"/>
        <w:gridCol w:w="109"/>
        <w:gridCol w:w="109"/>
        <w:gridCol w:w="109"/>
        <w:gridCol w:w="211"/>
        <w:gridCol w:w="646"/>
        <w:gridCol w:w="109"/>
        <w:gridCol w:w="109"/>
        <w:gridCol w:w="109"/>
        <w:gridCol w:w="109"/>
        <w:gridCol w:w="211"/>
        <w:gridCol w:w="856"/>
        <w:gridCol w:w="109"/>
        <w:gridCol w:w="109"/>
        <w:gridCol w:w="109"/>
        <w:gridCol w:w="109"/>
        <w:gridCol w:w="237"/>
        <w:gridCol w:w="961"/>
        <w:gridCol w:w="123"/>
        <w:gridCol w:w="109"/>
        <w:gridCol w:w="109"/>
        <w:gridCol w:w="109"/>
        <w:gridCol w:w="375"/>
        <w:gridCol w:w="376"/>
        <w:gridCol w:w="241"/>
        <w:gridCol w:w="109"/>
        <w:gridCol w:w="109"/>
        <w:gridCol w:w="109"/>
        <w:gridCol w:w="211"/>
        <w:gridCol w:w="751"/>
        <w:gridCol w:w="109"/>
        <w:gridCol w:w="109"/>
        <w:gridCol w:w="109"/>
        <w:gridCol w:w="109"/>
        <w:gridCol w:w="272"/>
        <w:gridCol w:w="969"/>
        <w:gridCol w:w="200"/>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Additional</w:t>
              <w:br/>
              <w:t> 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w:t>
              <w:br/>
              <w:t>Equity</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(332,995)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(10,538)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74,960</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491,954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(333,455)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(9,981)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(84,466)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75,315</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353"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353"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353"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353"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502,664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(328,759)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(8,848)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78,087</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497,884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(328,142)</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(8,415)</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(91,195)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79,829</w:t>
            </w:r>
            <w:r>
              <w:rPr>
                <w:color w:val="000000"/>
              </w:rPr>
              <w:t>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150"/>
                <wp:effectExtent l="0" t="0" r="0" b="0"/>
                <wp:wrapNone/>
                <wp:docPr id="7" name="Frame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02"/>
        <w:gridCol w:w="2278"/>
        <w:gridCol w:w="2292"/>
        <w:gridCol w:w="234"/>
        <w:gridCol w:w="954"/>
        <w:gridCol w:w="120"/>
        <w:gridCol w:w="120"/>
        <w:gridCol w:w="120"/>
        <w:gridCol w:w="120"/>
        <w:gridCol w:w="234"/>
        <w:gridCol w:w="954"/>
        <w:gridCol w:w="177"/>
      </w:tblGrid>
      <w:tr>
        <w:trPr/>
        <w:tc>
          <w:tcPr>
            <w:tcW w:w="260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used in operating activities: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 net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(3,838)</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(606)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on term loans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restricted stock units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(2,214)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(2,633)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the beginning of the period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188,218 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253,924 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and restricted cash at the end of the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184,951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246,847</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paid (refunded),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150"/>
                <wp:effectExtent l="0" t="0" r="0" b="0"/>
                <wp:wrapNone/>
                <wp:docPr id="8" name="Frame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and its subsidiaries (“Company,” “we,” “us” and “our”),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its existing business flow. We also operate as a third-party administrator that adjudicates insurance claims and premium adjustments on automotive loans.</w:t>
      </w:r>
    </w:p>
    <w:p>
      <w:pPr>
        <w:pStyle w:val="TextBody"/>
        <w:bidi w:val="0"/>
        <w:spacing w:lineRule="auto" w:line="288" w:before="120" w:after="283"/>
        <w:jc w:val="both"/>
        <w:rPr/>
      </w:pPr>
      <w:r>
        <w:rPr>
          <w:rFonts w:ascii="Arial;sans-serif" w:hAnsi="Arial;sans-serif"/>
          <w:b w:val="false"/>
          <w:color w:val="000000"/>
          <w:sz w:val="20"/>
        </w:rPr>
        <w:t>Our flagship product,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in November 2025, we announced the launch of ApexOne Auto, a cloud-based advanced decisioning platform that expands our capabilities to support loans made to prime borrowers. Like LPP, ApexOne Auto uses risk-based pricing models to arrive at an all-inclusive interest rate for a loan that is customized to each automotive lender, reflecting cost of capital, loan servicing and acquisition costs, expected recovery rates and target return on assets. Unlike with loans facilitated through LPP, our insurance partners do not provide default insurance in connection with loans facilitated through ApexOne Auto.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of our operations and assets are in the U.S., and all of our revenues are attributable to U.S.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(“GAAP”) and include the accounts of Open Lending Corporation and all its subsidiaries. All intercompany transactions and balances have been eliminated upon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Certain information and footnote disclosures normally included in annual financial statements prepared in accordance with GAAP have been omitted from these condensed consolidated financial statements, as permitted by Securities and Exchange Commission (“SEC”) rules and regulations. We believe the disclosures made in these condensed consolidated financial statements are adequate to make the information herein not misleading. These unaudited interim condensed consolidated financial statements should be read in conjunction with the audited consolidated financial statements and related notes thereto included in our Annual Report on Form 10-K for the year ended December 31,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interim data includes all normal adjustments that are, in our opinion, necessary for a fair statement of the results for the interim periods presented. The results of operations for the three months ended March 31, 2026 are not necessarily indicative of our operating results for any other interim period or the entire fiscal year ending December 31, 2026.</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most significant items subject to such estimates and assumptions include, but are not limited to, profit share revenue recognition and the corresponding impact on contract assets and the excess profit share receipts liability and assessing the realizability of deferred tax assets. Our estimates are based on historical trends and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6055"/>
                <wp:effectExtent l="0" t="0" r="0" b="0"/>
                <wp:wrapNone/>
                <wp:docPr id="9" name="Frame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7</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assumptions that we believe to be reasonable under the circumstances. Accordingly, actual results could be materially different from those estimates.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Profit share represents our participation in the net underwriting profit of third-party insurance partners who provide automotive lenders with credit default insurance on loans those lenders make using LPP. The following table shows the profit share revenue from new certified loan originations and the change in estimates of variable consideration related to performance obligations satisfied in previous periods, primarily as a result of actual portfolio performance and forecast assumption changes due to changes in anticipated loan default rates, severity of losses and prepayment rates.</w:t>
      </w:r>
    </w:p>
    <w:tbl>
      <w:tblPr>
        <w:tblW w:w="6295" w:type="dxa"/>
        <w:jc w:val="left"/>
        <w:tblInd w:w="0" w:type="dxa"/>
        <w:tblLayout w:type="fixed"/>
        <w:tblCellMar>
          <w:top w:w="28" w:type="dxa"/>
          <w:left w:w="28" w:type="dxa"/>
          <w:bottom w:w="28" w:type="dxa"/>
          <w:right w:w="28" w:type="dxa"/>
        </w:tblCellMar>
      </w:tblPr>
      <w:tblGrid>
        <w:gridCol w:w="996"/>
        <w:gridCol w:w="879"/>
        <w:gridCol w:w="884"/>
        <w:gridCol w:w="285"/>
        <w:gridCol w:w="875"/>
        <w:gridCol w:w="147"/>
        <w:gridCol w:w="147"/>
        <w:gridCol w:w="147"/>
        <w:gridCol w:w="147"/>
        <w:gridCol w:w="285"/>
        <w:gridCol w:w="875"/>
        <w:gridCol w:w="147"/>
        <w:gridCol w:w="109"/>
        <w:gridCol w:w="109"/>
        <w:gridCol w:w="109"/>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profit share revenue</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6,950</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6,730</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Share Repurchase Program Extension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April 30, 2026, the Board of Directors increased the maximum aggregate amount of our previously authorized share repurchase program allowing the Company to repurchase shares of the Company’s outstanding common stock (the “Share Repurchase Program”) from $25.0 million to $50.0 million and extended the expiration date of the Share Repurchase Program from May 1, 2026 to May 1, 2027. Repurchases may be made at management’s discretion from time to time on the open market. The Share Repurchase Program may be suspended, amended, or discontinued at any time. As of March 31, 2026, we had $20.1 million available under the Share Repurchase Program.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we use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283"/>
        <w:jc w:val="both"/>
        <w:rPr/>
      </w:pPr>
      <w:r>
        <w:rPr>
          <w:rFonts w:ascii="Arial;sans-serif" w:hAnsi="Arial;sans-serif"/>
          <w:b w:val="false"/>
          <w:color w:val="000000"/>
          <w:sz w:val="20"/>
        </w:rPr>
        <w:t>In situations where there is little, if any, market activity for the asset or liability at the measurement date, the fair value measurement reflects our judgments about the assumptions that market participants would use in pricing the asset or liability. Those judgments are developed based on the best information available in the circumstances, including expected cash flows and appropriately risk-adjusted discount rates, available observable and unobservable inputs. Refer to Note 7—</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for a summary of our financial instruments measured at fair value on a recurring basis.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November 2024, the Financial Accounting Standards Board (the “FASB”) issued accounting standards update (“ASU”) No. 2024-03, Income Statement — Reporting Comprehensive Income — Expense Disaggregation Disclosures (Subtopic 220-40): Disaggregation of Income Statement Expenses, which requires new disclosures,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150"/>
                <wp:effectExtent l="0" t="0" r="0" b="0"/>
                <wp:wrapNone/>
                <wp:docPr id="10" name="Frame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separate note to financial statements, of specified information about certain costs and expenses. The ASU is effective for annual reporting periods beginning after December 15, 2026, and interim reporting periods beginning after December 15, 2027. Early adoption is permitted. We believe this ASU will have no impact on our consolidated financial statements but will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 — Goodwill and Other — Internal-Use Software (Subtopic 350-40): Targeted Improvements to the Accounting for Internal-Use Software, which updates the accounting for the internal-use software costs. The update removes all references to software development project stages and requires the capitalization of internal-use software costs when management has authorized and committed to funding the software project and it is probable that the project will be completed and function as intended. The ASU is effective for annual reporting periods beginning after December 15, 2027, and interim reporting periods within those annual periods and permits prospective, modified prospective, or retrospective adoption. Early adoption is permitted. We are currently evaluating the impact of adopting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3—Contract Assets and Excess Profit Share Receipts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Contract Assets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recognize contract assets when we transfer services to a customer, recognize revenue for amounts not yet billed, and the right to consideration is conditional on something other than the passage of time. Accounts receivable are recorded when the customer has been billed or the right to consideration is unconditional. Changes in our contract assets primarily result from the timing difference between the satisfaction of our performance obligation and receipt of the customer’s payment.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performance obligations related to profit share revenue that were satisfied in previous periods, we evaluate and update our profit share revenue forecast on a quarterly basis and adjust the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and a reduction in revenues and future expected cash flows. To the extent a negative change in estimate exceeds the associated contract asset balance at a loan level, or if cash consideration received is in excess of the expected profit share consideration, the amount is recorded as an excess profit share receipt liability.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the expected profit share variable consideration and related contract assets are recorded and updated on a quarterly basis, the amounts disclosed as “Changes in estimates of revenue from performance obligations satisfied in previous periods” in the table below includes adjustments to revenue recorded in the previous quarters of the same fiscal year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150"/>
                <wp:effectExtent l="0" t="0" r="0" b="0"/>
                <wp:wrapNone/>
                <wp:docPr id="11" name="Frame1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 xml:space="preserve">Contract assets balances for the period indicated below were as follows: </w:t>
      </w:r>
    </w:p>
    <w:tbl>
      <w:tblPr>
        <w:tblW w:w="10205" w:type="dxa"/>
        <w:jc w:val="left"/>
        <w:tblInd w:w="0" w:type="dxa"/>
        <w:tblLayout w:type="fixed"/>
        <w:tblCellMar>
          <w:top w:w="28" w:type="dxa"/>
          <w:left w:w="28" w:type="dxa"/>
          <w:bottom w:w="28" w:type="dxa"/>
          <w:right w:w="28" w:type="dxa"/>
        </w:tblCellMar>
      </w:tblPr>
      <w:tblGrid>
        <w:gridCol w:w="1289"/>
        <w:gridCol w:w="1022"/>
        <w:gridCol w:w="1028"/>
        <w:gridCol w:w="109"/>
        <w:gridCol w:w="109"/>
        <w:gridCol w:w="109"/>
        <w:gridCol w:w="211"/>
        <w:gridCol w:w="751"/>
        <w:gridCol w:w="109"/>
        <w:gridCol w:w="109"/>
        <w:gridCol w:w="109"/>
        <w:gridCol w:w="109"/>
        <w:gridCol w:w="211"/>
        <w:gridCol w:w="646"/>
        <w:gridCol w:w="109"/>
        <w:gridCol w:w="109"/>
        <w:gridCol w:w="109"/>
        <w:gridCol w:w="109"/>
        <w:gridCol w:w="523"/>
        <w:gridCol w:w="1606"/>
        <w:gridCol w:w="273"/>
        <w:gridCol w:w="109"/>
        <w:gridCol w:w="109"/>
        <w:gridCol w:w="109"/>
        <w:gridCol w:w="211"/>
        <w:gridCol w:w="751"/>
        <w:gridCol w:w="157"/>
      </w:tblGrid>
      <w:tr>
        <w:trPr/>
        <w:tc>
          <w:tcPr>
            <w:tcW w:w="128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Program</w:t>
              <w:br/>
              <w:t>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Claims Administration and Other Service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1,630</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25,079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Realized losses reducing profit share payments received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excess profit share receipts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1,510</w:t>
            </w: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23,942</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Represents the deemed gross payment that would have been received for historic vintages in a contract asset position if not reduced by the realization of accrued losses on historic vintages in an excess profit share receipts liability position. The $3.3 million of realization of losses reduced the contract assets as payment will not be received and reduced the excess profit share receipts liability as discussed below.</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When profit share cash consideration received is in excess of the expected profit share consideration at the loan level, the amount of excess funds and the forecasted losses are recorded as an excess profit share receipts liability. The excess profit share receipts liability is based on the current forecast of future losses of the active loan portfolio and will be impacted by future changes in estimates related to profit share revenue. There is generally no contractual obligation to return the excess funds while an insurance partner is actively participating in our profit share program; however, future expected profit share cash flows may be reduced. When cash payments received from our insurance partners related to our profit share contract assets are reduced due to the realization of accrued losses, the excess profit share receipts liability and contract asset are both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150"/>
                <wp:effectExtent l="0" t="0" r="0" b="0"/>
                <wp:wrapNone/>
                <wp:docPr id="12" name="Frame1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The excess profit share receipts liability balance for the period indicated below was as follows:</w:t>
      </w:r>
    </w:p>
    <w:tbl>
      <w:tblPr>
        <w:tblW w:w="10205" w:type="dxa"/>
        <w:jc w:val="left"/>
        <w:tblInd w:w="0" w:type="dxa"/>
        <w:tblLayout w:type="fixed"/>
        <w:tblCellMar>
          <w:top w:w="28" w:type="dxa"/>
          <w:left w:w="28" w:type="dxa"/>
          <w:bottom w:w="28" w:type="dxa"/>
          <w:right w:w="28" w:type="dxa"/>
        </w:tblCellMar>
      </w:tblPr>
      <w:tblGrid>
        <w:gridCol w:w="3092"/>
        <w:gridCol w:w="2702"/>
        <w:gridCol w:w="2719"/>
        <w:gridCol w:w="109"/>
        <w:gridCol w:w="109"/>
        <w:gridCol w:w="109"/>
        <w:gridCol w:w="257"/>
        <w:gridCol w:w="918"/>
        <w:gridCol w:w="190"/>
      </w:tblGrid>
      <w:tr>
        <w:trPr/>
        <w:tc>
          <w:tcPr>
            <w:tcW w:w="309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Profit Share</w:t>
            </w:r>
          </w:p>
        </w:tc>
      </w:tr>
      <w:tr>
        <w:trPr/>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46,246</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8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Realization of losses reducing payments received, net of payments received from insurance carriers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contract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45,273</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Represents the realization of losses on historic vintages which reduced the profit share payment received from insurance carriers. Amount is shown net of any payments received from insurance carriers related to historic vintages in an excess profit share liability position.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our contracts with customers generally do not meet the criteria for capitalization and therefore are primarily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4—Long-term Debt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The following table provides a summary of our debt as of the periods indicated:</w:t>
      </w:r>
    </w:p>
    <w:tbl>
      <w:tblPr>
        <w:tblW w:w="7771" w:type="dxa"/>
        <w:jc w:val="left"/>
        <w:tblInd w:w="0" w:type="dxa"/>
        <w:tblLayout w:type="fixed"/>
        <w:tblCellMar>
          <w:top w:w="28" w:type="dxa"/>
          <w:left w:w="28" w:type="dxa"/>
          <w:bottom w:w="28" w:type="dxa"/>
          <w:right w:w="28" w:type="dxa"/>
        </w:tblCellMar>
      </w:tblPr>
      <w:tblGrid>
        <w:gridCol w:w="1799"/>
        <w:gridCol w:w="1574"/>
        <w:gridCol w:w="1591"/>
        <w:gridCol w:w="211"/>
        <w:gridCol w:w="751"/>
        <w:gridCol w:w="109"/>
        <w:gridCol w:w="109"/>
        <w:gridCol w:w="109"/>
        <w:gridCol w:w="109"/>
        <w:gridCol w:w="266"/>
        <w:gridCol w:w="949"/>
        <w:gridCol w:w="194"/>
      </w:tblGrid>
      <w:tr>
        <w:trPr/>
        <w:tc>
          <w:tcPr>
            <w:tcW w:w="179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84,766 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75,444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77,266</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Credit Agreement—Term Loan due 2027 and Revolving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9, 2022, we entered into a First Amendment to our existing credit agreement (the “First Amendment”) with Wells Fargo Bank, N.A., as the administrative agent, and the financial institutions party thereto, as the lenders. The First Amendment provided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Borrowings under the Credit Agreement bear interest at a rate equal to either (i) an Alternate Base rate (“ABR”) or (ii) the term Secured Overnight Financing Rate (“SOFR”) plus 0.10% (“Adjusted SOFR”) plus a spread that is based upon our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our Funded Secured Debt/EBITDA ratio increases or decreases.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March 31, 2026, the Term Loan due 2027 and the Revolving Credit Facility were both subject to an Adjusted SOFR rate of 3.800% plus a spread of 1.625% per annum. Commitment fees were accrued at 0.150%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150"/>
                <wp:effectExtent l="0" t="0" r="0" b="0"/>
                <wp:wrapNone/>
                <wp:docPr id="13" name="Frame1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Revolving Credit Facility’s unused commitment balance of $150 million as of March 31, 2026. As of March 31, 2026 and December 31, 2025, the effective interest rate on the outstanding borrowings was 5.679% and 6.224%,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Unamortized deferred financing costs related to the Term Loan due 2027 and the Revolving Credit Facility were $0.3 million and $0.1 million, respectively, as of March 31,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under the Credit Agreement are guaranteed by our U.S. subsidiaries and are secured by substantially all of our assets and our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March 31, 2026, we were in compliance with all required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5—Income Taxes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compute our interim provision for income taxes by applying the estimated annual effective tax rate to year-to-date income (loss) before income tax and adjust the provision for discrete tax items recorded in the period (“annual effective tax rate method”). The interim provision for income taxes and estimated annual effective tax rate are subject to volatility due to several factors, including changes in our earnings, changes to our valuation allowance, material discrete tax items and the effects of tax law changes.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2026, we recognized an insignificant income tax benefit, resulting in an effective tax rate of 2.1%, as compared to income tax expense of $0.1 million and an effective tax rate of 8.3%, for the three months ended March 31, 2025. The decrease in the effective tax rate for the three months ended March 31, 2026 compared to the same period in 2025 was primarily due to the impact of the loss before income taxes for the current period.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150"/>
                <wp:effectExtent l="0" t="0" r="0" b="0"/>
                <wp:wrapNone/>
                <wp:docPr id="14" name="Frame1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6—Net Income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(loss) per share attributable to common stockholders for the three months ended March 31, 2026 and 2025:</w:t>
      </w:r>
    </w:p>
    <w:tbl>
      <w:tblPr>
        <w:tblW w:w="10047" w:type="dxa"/>
        <w:jc w:val="center"/>
        <w:tblInd w:w="0" w:type="dxa"/>
        <w:tblLayout w:type="fixed"/>
        <w:tblCellMar>
          <w:top w:w="28" w:type="dxa"/>
          <w:left w:w="28" w:type="dxa"/>
          <w:bottom w:w="28" w:type="dxa"/>
          <w:right w:w="28" w:type="dxa"/>
        </w:tblCellMar>
      </w:tblPr>
      <w:tblGrid>
        <w:gridCol w:w="2490"/>
        <w:gridCol w:w="2186"/>
        <w:gridCol w:w="2194"/>
        <w:gridCol w:w="320"/>
        <w:gridCol w:w="822"/>
        <w:gridCol w:w="165"/>
        <w:gridCol w:w="165"/>
        <w:gridCol w:w="165"/>
        <w:gridCol w:w="165"/>
        <w:gridCol w:w="320"/>
        <w:gridCol w:w="822"/>
        <w:gridCol w:w="233"/>
      </w:tblGrid>
      <w:tr>
        <w:trPr/>
        <w:tc>
          <w:tcPr>
            <w:tcW w:w="2490"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Arial;sans-serif" w:hAnsi="Arial;sans-serif"/>
                <w:b w:val="false"/>
                <w:i/>
                <w:color w:val="000000"/>
                <w:sz w:val="18"/>
              </w:rPr>
            </w:pPr>
            <w:r>
              <w:rPr>
                <w:rFonts w:ascii="Arial;sans-serif" w:hAnsi="Arial;sans-serif"/>
                <w:b w:val="false"/>
                <w:i/>
                <w:color w:val="000000"/>
                <w:sz w:val="18"/>
              </w:rPr>
              <w:t>(in thousands, except per share data)</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Basic net income (loss) per share: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119,451 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 net income (loss) per share attributable to common stockholders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Diluted net income (loss) per share: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119,451 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employee share awards outstanding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119,629 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net income (loss) per share attributable to common stockholders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for the three months ended March 31, 2026 and 2025 were excluded from the computation of diluted net income (loss) per share because their effect would have been anti-dilutive for the periods presented, or issuance of such shares is contingent upon the satisfaction of certain conditions that were not satisfied by the end of the periods:</w:t>
      </w:r>
    </w:p>
    <w:tbl>
      <w:tblPr>
        <w:tblW w:w="6803" w:type="dxa"/>
        <w:jc w:val="left"/>
        <w:tblInd w:w="0" w:type="dxa"/>
        <w:tblLayout w:type="fixed"/>
        <w:tblCellMar>
          <w:top w:w="28" w:type="dxa"/>
          <w:left w:w="28" w:type="dxa"/>
          <w:bottom w:w="28" w:type="dxa"/>
          <w:right w:w="28" w:type="dxa"/>
        </w:tblCellMar>
      </w:tblPr>
      <w:tblGrid>
        <w:gridCol w:w="1341"/>
        <w:gridCol w:w="1179"/>
        <w:gridCol w:w="1185"/>
        <w:gridCol w:w="329"/>
        <w:gridCol w:w="329"/>
        <w:gridCol w:w="329"/>
        <w:gridCol w:w="329"/>
        <w:gridCol w:w="329"/>
        <w:gridCol w:w="329"/>
        <w:gridCol w:w="329"/>
        <w:gridCol w:w="329"/>
        <w:gridCol w:w="466"/>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7,933</w:t>
            </w:r>
            <w:r>
              <w:rPr>
                <w:color w:val="000000"/>
              </w:rPr>
              <w:t>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818</w:t>
            </w:r>
            <w:r>
              <w:rPr>
                <w:color w:val="000000"/>
              </w:rPr>
              <w:t>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7—Fair Value of Financial Instruments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Financial assets measured at fair value on a recurring basis were as follows:</w:t>
      </w:r>
    </w:p>
    <w:tbl>
      <w:tblPr>
        <w:tblW w:w="7738"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274"/>
        <w:gridCol w:w="1115"/>
        <w:gridCol w:w="142"/>
        <w:gridCol w:w="142"/>
        <w:gridCol w:w="142"/>
        <w:gridCol w:w="142"/>
        <w:gridCol w:w="274"/>
        <w:gridCol w:w="529"/>
        <w:gridCol w:w="142"/>
        <w:gridCol w:w="142"/>
        <w:gridCol w:w="142"/>
        <w:gridCol w:w="142"/>
        <w:gridCol w:w="274"/>
        <w:gridCol w:w="529"/>
        <w:gridCol w:w="200"/>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March 31,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153,164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153,164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150"/>
                <wp:effectExtent l="0" t="0" r="0" b="0"/>
                <wp:wrapNone/>
                <wp:docPr id="15" name="Frame1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tbl>
      <w:tblPr>
        <w:tblW w:w="8093"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151,828 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151,828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151,828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The amounts reported in our Condensed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each approximate their fair value due to the short-term maturities of the instruments.</w:t>
      </w:r>
    </w:p>
    <w:p>
      <w:pPr>
        <w:pStyle w:val="TextBody"/>
        <w:bidi w:val="0"/>
        <w:spacing w:lineRule="auto" w:line="288" w:before="120" w:after="283"/>
        <w:jc w:val="both"/>
        <w:rPr/>
      </w:pPr>
      <w:r>
        <w:rPr>
          <w:rFonts w:ascii="Arial;sans-serif" w:hAnsi="Arial;sans-serif"/>
          <w:b w:val="false"/>
          <w:color w:val="000000"/>
          <w:sz w:val="20"/>
        </w:rPr>
        <w:t xml:space="preserve">The carrying amount of our debt approximates its fair value due to its variable interest rate. The fair value is determined using the Adjusted SOFR, plus an applicable spread, a Level 2 classification in the fair value hierarchy. Refer to Note 4 - </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the carrying amount of our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accounting policy is to recognize transfers between levels of the fair value hierarchy on the date of the event or change in circumstances that caused the transfer. There were no transfers into or out of any level for the periods ended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Note 8—Segment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as one operating segment. The following table sets forth significant expense categories and other specified amounts included in consolidated net income (loss) that are reviewed by the chief operating decision maker (“CODM”), or are otherwise regularly provided to the CODM, for the three months ended March 31, 2026 and 2025.</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150"/>
                <wp:effectExtent l="0" t="0" r="0" b="0"/>
                <wp:wrapNone/>
                <wp:docPr id="16" name="Frame1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tbl>
      <w:tblPr>
        <w:tblW w:w="7089" w:type="dxa"/>
        <w:jc w:val="left"/>
        <w:tblInd w:w="0" w:type="dxa"/>
        <w:tblLayout w:type="fixed"/>
        <w:tblCellMar>
          <w:top w:w="28" w:type="dxa"/>
          <w:left w:w="28" w:type="dxa"/>
          <w:bottom w:w="28" w:type="dxa"/>
          <w:right w:w="28" w:type="dxa"/>
        </w:tblCellMar>
      </w:tblPr>
      <w:tblGrid>
        <w:gridCol w:w="1445"/>
        <w:gridCol w:w="1266"/>
        <w:gridCol w:w="1278"/>
        <w:gridCol w:w="260"/>
        <w:gridCol w:w="927"/>
        <w:gridCol w:w="134"/>
        <w:gridCol w:w="134"/>
        <w:gridCol w:w="134"/>
        <w:gridCol w:w="134"/>
        <w:gridCol w:w="260"/>
        <w:gridCol w:w="927"/>
        <w:gridCol w:w="190"/>
      </w:tblGrid>
      <w:tr>
        <w:trPr/>
        <w:tc>
          <w:tcPr>
            <w:tcW w:w="14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20,491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24,393</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 of services</w:t>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Partner commissions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 of services</w:t>
            </w:r>
            <w:r>
              <w:rPr>
                <w:rFonts w:ascii="Arial;sans-serif" w:hAnsi="Arial;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cost of services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4,854</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6,084</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15,637</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18,309</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16,270</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17,547</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762</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(470)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673</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617</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 xml:space="preserve">(1) </w:t>
      </w:r>
      <w:r>
        <w:rPr>
          <w:rFonts w:ascii="Arial;sans-serif" w:hAnsi="Arial;sans-serif"/>
          <w:b w:val="false"/>
          <w:color w:val="000000"/>
          <w:sz w:val="18"/>
        </w:rPr>
        <w:t>Other cost of services primarily consists of fees paid for actuarial services, fees for integration with the loan origination system of automotive lenders and fees paid to credit bureaus and data service providers.</w:t>
      </w:r>
    </w:p>
    <w:p>
      <w:pPr>
        <w:pStyle w:val="TextBody"/>
        <w:bidi w:val="0"/>
        <w:spacing w:lineRule="auto" w:line="288" w:before="60" w:after="283"/>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Other operating expenses includes other non-recurring expenses, marketing expenses, insurance expenses, travel expenses, meals and entertainment expenses, facilities expenses and business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150"/>
                <wp:effectExtent l="0" t="0" r="0" b="0"/>
                <wp:wrapNone/>
                <wp:docPr id="17" name="Frame1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on Form 10-K for the year ended December 31, 2025 (our “Annual Report”). This discussion contains forward-looking statements and involves numerous risks and uncertainties, including, but not limited to, those described under the heading “Risk Factors” in our Annual Report and elsewhere in this Quarterly Report on Form 10-Q (this “Quarterly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150"/>
                <wp:effectExtent l="0" t="0" r="0" b="0"/>
                <wp:wrapNone/>
                <wp:docPr id="18" name="Frame1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“forecasts,” “predicts,” “potential,” or “continue,” or the negative of these words or other similar terms or expressions that concern our expectations, strategy, plans, or intentions. Forward-looking statements contained in this Quarterly Report may include, but are not limited to, statements about:</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financial or operating performance;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our strategy, future operations, financial position, forecasting model, estimated revenues and losses, projected costs, prospects and plans;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turnover in automotive lenders, as well as varying activation rates and volatility in usage of LPP by automotive lenders;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macroeconomic conditions and the relative strength of the overall economy, including its effect on unemployment, consumer spending and consumer demand for automotive products;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ability to maintain the listing of our common stock on The Nasdaq Stock Market LLC;</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applicable laws or regulations; and</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applicable taxes, inflation, tariffs,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outcome of the events described in these forward-looking statements is subject to known and unknown risks, uncertainties and other factors described in the section titled “Risk Factors” in our Annual Report that may cause actual results to differ materially from those expressed or implied by these forward-looking statements. Accordingly, you should not place undue reliance on any forward-looking statements which are not guarantees of future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Quarterly Report. We undertake no obligation to update any forward-looking statements made in this Quarterly Report to reflect events or circumstances after the date of this Quarterly Report or to reflect new information or the occurrence of unanticipated events,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Through our flagship product, LPP, our customers, collectively referred to herein as automotive lenders or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through LPP, representing over $28.5 billion in originations, and we have accumulated approximately 25 years of proprietary data and developed over two million unique risk profiles. We currently serve 447 active lenders.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150"/>
                <wp:effectExtent l="0" t="0" r="0" b="0"/>
                <wp:wrapNone/>
                <wp:docPr id="19" name="Frame1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LPP targets the financing needs of near-prime and non-prime borrowers, or borrowers with a credit bureau score generally between 560 and 699, who are underserved in the automotive finance industry.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approximately 25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ApexOne Auto</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On November 6, 2025, we announced the launch of ApexOne Auto, an advanced decisioning platform that supports loans made to prime borrowers. Like LPP, ApexOne Auto uses risk-based pricing models to arrive at an all-inclusive interest rate for a loan that is customized to each automotive lender, reflecting cost of capital, loan servicing and acquisition costs, expected recovery rates and target return on assets. Unlike with loans facilitated through LPP, default insurance is not provided in connection with loans facilitated through ApexOne Auto.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21,064 certified loans during the three months ended March 31, 2026, as compared to 27,638 certified loans during the three months ended March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$20.5 million for the three months ended March 31, 2026, as compared to $24.4 million during the three months ended March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loss was $0.6 million for the three months ended March 31, 2026, as compared to operating income of $0.8 million in the three months ended March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loss was $0.5 million for the three months ended March 31, 2026, as compared to net income of $0.6 million for the three months ended March 31, 2025.</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150"/>
                <wp:effectExtent l="0" t="0" r="0" b="0"/>
                <wp:wrapNone/>
                <wp:docPr id="20" name="Frame1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key performance measures for the three months ended March 31, 2026 and 2025.</w:t>
      </w:r>
    </w:p>
    <w:tbl>
      <w:tblPr>
        <w:tblW w:w="7738" w:type="dxa"/>
        <w:jc w:val="center"/>
        <w:tblInd w:w="0" w:type="dxa"/>
        <w:tblLayout w:type="fixed"/>
        <w:tblCellMar>
          <w:top w:w="28" w:type="dxa"/>
          <w:left w:w="28" w:type="dxa"/>
          <w:bottom w:w="28" w:type="dxa"/>
          <w:right w:w="28" w:type="dxa"/>
        </w:tblCellMar>
      </w:tblPr>
      <w:tblGrid>
        <w:gridCol w:w="1677"/>
        <w:gridCol w:w="1475"/>
        <w:gridCol w:w="1483"/>
        <w:gridCol w:w="240"/>
        <w:gridCol w:w="976"/>
        <w:gridCol w:w="124"/>
        <w:gridCol w:w="124"/>
        <w:gridCol w:w="124"/>
        <w:gridCol w:w="124"/>
        <w:gridCol w:w="240"/>
        <w:gridCol w:w="976"/>
        <w:gridCol w:w="175"/>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Certified loans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Credit unions and banks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OEM </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certified loans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27,638 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Unit economics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program fees per certified loan</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profit share revenue per certified loan</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Originations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618,369 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782,901 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Active lenders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active lenders at end of period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w:t>
            </w:r>
          </w:p>
        </w:tc>
      </w:tr>
    </w:tbl>
    <w:p>
      <w:pPr>
        <w:pStyle w:val="TextBody"/>
        <w:bidi w:val="0"/>
        <w:spacing w:lineRule="auto" w:line="288" w:before="0" w:after="0"/>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Active lenders is defined as lenders who certify at least one loan during the preceding 12 months. This number includes 3 and 11 new lenders during the three months ended March 31, 2026 and 2025, respectively, using LPP to certify loans for the first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Unit Economics</w:t>
      </w:r>
    </w:p>
    <w:p>
      <w:pPr>
        <w:pStyle w:val="TextBody"/>
        <w:bidi w:val="0"/>
        <w:spacing w:lineRule="auto" w:line="288" w:before="120" w:after="283"/>
        <w:jc w:val="both"/>
        <w:rPr/>
      </w:pPr>
      <w:r>
        <w:rPr>
          <w:rFonts w:ascii="Arial;sans-serif" w:hAnsi="Arial;sans-serif"/>
          <w:b w:val="false"/>
          <w:i/>
          <w:color w:val="000000"/>
          <w:sz w:val="20"/>
        </w:rPr>
        <w:t>Average program fee</w:t>
      </w:r>
      <w:r>
        <w:rPr>
          <w:rFonts w:ascii="Arial;sans-serif" w:hAnsi="Arial;sans-serif"/>
          <w:b w:val="false"/>
          <w:color w:val="000000"/>
          <w:sz w:val="20"/>
        </w:rPr>
        <w:t>. We define “average program fee” as the total LPP program fee revenue recognized for a period, excluding adjustments for incentive programs, divided by the number of certified loans in that period.</w:t>
      </w:r>
    </w:p>
    <w:p>
      <w:pPr>
        <w:pStyle w:val="TextBody"/>
        <w:bidi w:val="0"/>
        <w:spacing w:lineRule="auto" w:line="288" w:before="120" w:after="283"/>
        <w:jc w:val="both"/>
        <w:rPr/>
      </w:pPr>
      <w:r>
        <w:rPr>
          <w:rFonts w:ascii="Arial;sans-serif" w:hAnsi="Arial;sans-serif"/>
          <w:b w:val="false"/>
          <w:i/>
          <w:color w:val="000000"/>
          <w:sz w:val="20"/>
        </w:rPr>
        <w:t>Average profit share revenue per certified loan</w:t>
      </w:r>
      <w:r>
        <w:rPr>
          <w:rFonts w:ascii="Arial;sans-serif" w:hAnsi="Arial;sans-serif"/>
          <w:b w:val="false"/>
          <w:color w:val="000000"/>
          <w:sz w:val="20"/>
        </w:rPr>
        <w:t>. We define “average profit share revenue per certified loan” as the total profit share revenue recognized for new loan originations during a period divided by the number of certified loans in that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earn a monthly claims administration service fee, which is calculated by our insurance partners as 3% of the monthly net insurance earned premium collected over the life of the underlying loan. We define “earned premium” as the total insurance premium earned by insurers in a given period. Earned premiums were $72.7 million and $81.8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tariffs, uncertainty or changes in monetary and related policies, market volatility, supply chain disruptions, consumer confidence and, particularly, the unemployment rate also influence consumer spending and borrowing patterns.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150"/>
                <wp:effectExtent l="0" t="0" r="0" b="0"/>
                <wp:wrapNone/>
                <wp:docPr id="21" name="Frame2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Total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 Our revenue primarily grows as we increase active automotive lenders using LPP as it influences the number of loans funded on LPP. Growth in our active automotive lender relationships will depend on our ability to retain existing automotive lenders and add new ones.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are primarily related to fees paid by automotive lenders for the use of LPP, our cloud-based automotive lending enablement platform, which provides loan analytics solutions and automated issuance of credit default insurance with third-party insurance providers. These LPP program fees are based on a percentage of each certified loan’s original principal balance and recognized as revenue upon certification of the loan by the lending institution. The LPP program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 The usage-based LPP program fees are typically paid either in one single payment in the month following loan certification or in equal monthly payments over the 12 months following loan certification.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to a lesser extent, program fees include fees paid by automotive lenders for the use of ApexOne Auto. ApexOne Auto is typically offered as a subscription for a committed contractual amount of monthly usage based on volume of loan applications processed, and the subscription-based fees are recognized as revenue ratably over the subscription term. To the extent that a customer’s usage exceeds the committed contracted amounts, the customer is billed for its incremental usage on a monthly basis. Program fee revenue related to ApexOne Auto was insignificant for the three months ended March 31, 2026. </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 xml:space="preserve">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 Thus, the profit share payments received from the insurance carriers are based on the monthly activity of the aggregated loan portfolio at the insurance partner level and can vary each period.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share revenue upon the placement of the insurance as all performance obligations are satisfied at that time and record a contract asset for the consideration we expect to receive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model in an effort to help ensure that default, severity and prepayment rate projections align with actual experience. Positive change in estimates associated with historic vintages generate additional revenues and future expected cash flows, while negative change in estimates generate a reduction in revenues and future expected cash flows. </w:t>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 xml:space="preserve">Claims administration service fees are paid to us by third-party insurance partners for credit default insurance claims adjudication services performed by our subsidiary,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150"/>
                <wp:effectExtent l="0" t="0" r="0" b="0"/>
                <wp:wrapNone/>
                <wp:docPr id="22" name="Frame2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Administrative Services, LLC, on our insured servicing portfolio. The administration fee is equal to 3% of the monthly insurance earned premium for as long as the LPP certified loan remains outstanding.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 xml:space="preserve">Cost of Services. </w:t>
      </w:r>
      <w:r>
        <w:rPr>
          <w:rFonts w:ascii="Arial;sans-serif" w:hAnsi="Arial;sans-serif"/>
          <w:b w:val="false"/>
          <w:color w:val="000000"/>
          <w:sz w:val="20"/>
        </w:rPr>
        <w:t>Cost of services primarily consists of fees paid to third-party partners for partner commissions, compensation and benefit 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decrease as a percentage of our program fee revenue.</w:t>
      </w:r>
    </w:p>
    <w:p>
      <w:pPr>
        <w:pStyle w:val="TextBody"/>
        <w:bidi w:val="0"/>
        <w:spacing w:lineRule="auto" w:line="288" w:before="120" w:after="283"/>
        <w:jc w:val="both"/>
        <w:rPr/>
      </w:pPr>
      <w:r>
        <w:rPr>
          <w:rFonts w:ascii="Arial;sans-serif" w:hAnsi="Arial;sans-serif"/>
          <w:b w:val="false"/>
          <w:i/>
          <w:color w:val="000000"/>
          <w:sz w:val="20"/>
        </w:rPr>
        <w:t xml:space="preserve">General and Administrative Expenses. </w:t>
      </w:r>
      <w:r>
        <w:rPr>
          <w:rFonts w:ascii="Arial;sans-serif" w:hAnsi="Arial;sans-serif"/>
          <w:b w:val="false"/>
          <w:color w:val="000000"/>
          <w:sz w:val="20"/>
        </w:rPr>
        <w:t xml:space="preserve">General and administrative expenses are comprised primarily of employee compensation and benefits, including share-based compensation expense, for corporate level employees, data and software expenses and professional and consulting fees. In the near term, we expect general and administrative expenses to decrease as we continue to focus on our cost saving initiatives. </w:t>
      </w:r>
    </w:p>
    <w:p>
      <w:pPr>
        <w:pStyle w:val="TextBody"/>
        <w:bidi w:val="0"/>
        <w:spacing w:lineRule="auto" w:line="288" w:before="120" w:after="283"/>
        <w:jc w:val="both"/>
        <w:rPr/>
      </w:pPr>
      <w:r>
        <w:rPr>
          <w:rFonts w:ascii="Arial;sans-serif" w:hAnsi="Arial;sans-serif"/>
          <w:b w:val="false"/>
          <w:i/>
          <w:color w:val="000000"/>
          <w:sz w:val="20"/>
        </w:rPr>
        <w:t xml:space="preserve">Selling and Marketing Expenses. </w:t>
      </w:r>
      <w:r>
        <w:rPr>
          <w:rFonts w:ascii="Arial;sans-serif" w:hAnsi="Arial;sans-serif"/>
          <w:b w:val="false"/>
          <w:color w:val="000000"/>
          <w:sz w:val="20"/>
        </w:rPr>
        <w:t>Selling and marketing expenses consist primarily of compensation and benefits, as well as travel, meals and entertainment expenses for employees engaged in selling and marketing activities and costs of our business development and marketing programs. In the near term, we generally expect selling and marketing expenses to decrease as we continue to focus on our cost saving initiatives.</w:t>
      </w:r>
    </w:p>
    <w:p>
      <w:pPr>
        <w:pStyle w:val="TextBody"/>
        <w:bidi w:val="0"/>
        <w:spacing w:lineRule="auto" w:line="288" w:before="120" w:after="283"/>
        <w:jc w:val="both"/>
        <w:rPr/>
      </w:pPr>
      <w:r>
        <w:rPr>
          <w:rFonts w:ascii="Arial;sans-serif" w:hAnsi="Arial;sans-serif"/>
          <w:b w:val="false"/>
          <w:i/>
          <w:color w:val="000000"/>
          <w:sz w:val="20"/>
        </w:rPr>
        <w:t xml:space="preserve">Research and Development Expenses. </w:t>
      </w:r>
      <w:r>
        <w:rPr>
          <w:rFonts w:ascii="Arial;sans-serif" w:hAnsi="Arial;sans-serif"/>
          <w:b w:val="false"/>
          <w:color w:val="000000"/>
          <w:sz w:val="20"/>
        </w:rPr>
        <w:t>Research and development expenses primarily consist of compensation and benefits for employees engaged in product development activities and data and software expenses. In addition, we capitalize certain research and development expenses related to the development of new functionality for our cloud-based solutions, which may cause our research and development expense to fluctuate from period to period. We generally expect our research and development costs to decrease in the near term as we continue to focus on our cost saving initiatives.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rFonts w:ascii="Arial;sans-serif" w:hAnsi="Arial;sans-serif"/>
          <w:b w:val="false"/>
          <w:color w:val="000000"/>
          <w:sz w:val="20"/>
        </w:rPr>
        <w:t>. Interest expense primarily includes interest payments and the amortization of deferred financing costs in connection with the issuance of our debt. We expect interest expense to decrease as we repay our debt, however, since the borrowings outstanding under our debt currently bear interest at variable rates, interest expense may continue to fluctuate as a result of changes in interest rates.</w:t>
      </w:r>
    </w:p>
    <w:p>
      <w:pPr>
        <w:pStyle w:val="TextBody"/>
        <w:bidi w:val="0"/>
        <w:spacing w:lineRule="auto" w:line="288" w:before="120" w:after="283"/>
        <w:jc w:val="both"/>
        <w:rPr/>
      </w:pPr>
      <w:r>
        <w:rPr>
          <w:rFonts w:ascii="Arial;sans-serif" w:hAnsi="Arial;sans-serif"/>
          <w:b w:val="false"/>
          <w:i/>
          <w:color w:val="000000"/>
          <w:sz w:val="20"/>
        </w:rPr>
        <w:t>Interest Income</w:t>
      </w:r>
      <w:r>
        <w:rPr>
          <w:rFonts w:ascii="Arial;sans-serif" w:hAnsi="Arial;sans-serif"/>
          <w:b w:val="false"/>
          <w:color w:val="000000"/>
          <w:sz w:val="20"/>
        </w:rPr>
        <w:t>. Interest income primarily includes interest and dividends earned on our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Comparison of Three Months Ended March 31, 2026 and 2025</w:t>
      </w:r>
    </w:p>
    <w:p>
      <w:pPr>
        <w:pStyle w:val="TextBody"/>
        <w:bidi w:val="0"/>
        <w:spacing w:lineRule="auto" w:line="288" w:before="180" w:after="283"/>
        <w:jc w:val="left"/>
        <w:rPr/>
      </w:pPr>
      <w:r>
        <w:rPr>
          <w:rFonts w:ascii="Arial;sans-serif" w:hAnsi="Arial;sans-serif"/>
          <w:b/>
          <w:i/>
          <w:color w:val="000000"/>
          <w:sz w:val="20"/>
        </w:rPr>
        <w:t>Revenue</w:t>
      </w:r>
      <w:r>
        <w:rPr>
          <w:color w:val="000000"/>
        </w:rPr>
        <w:t xml:space="preserve"> </w:t>
      </w:r>
    </w:p>
    <w:tbl>
      <w:tblPr>
        <w:tblW w:w="10111" w:type="dxa"/>
        <w:jc w:val="left"/>
        <w:tblInd w:w="0" w:type="dxa"/>
        <w:tblLayout w:type="fixed"/>
        <w:tblCellMar>
          <w:top w:w="28" w:type="dxa"/>
          <w:left w:w="28" w:type="dxa"/>
          <w:bottom w:w="28" w:type="dxa"/>
          <w:right w:w="28" w:type="dxa"/>
        </w:tblCellMar>
      </w:tblPr>
      <w:tblGrid>
        <w:gridCol w:w="1547"/>
        <w:gridCol w:w="1358"/>
        <w:gridCol w:w="1369"/>
        <w:gridCol w:w="261"/>
        <w:gridCol w:w="931"/>
        <w:gridCol w:w="135"/>
        <w:gridCol w:w="135"/>
        <w:gridCol w:w="135"/>
        <w:gridCol w:w="135"/>
        <w:gridCol w:w="261"/>
        <w:gridCol w:w="931"/>
        <w:gridCol w:w="135"/>
        <w:gridCol w:w="109"/>
        <w:gridCol w:w="109"/>
        <w:gridCol w:w="109"/>
        <w:gridCol w:w="211"/>
        <w:gridCol w:w="706"/>
        <w:gridCol w:w="109"/>
        <w:gridCol w:w="109"/>
        <w:gridCol w:w="109"/>
        <w:gridCol w:w="109"/>
        <w:gridCol w:w="218"/>
        <w:gridCol w:w="218"/>
        <w:gridCol w:w="662"/>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Program fees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11,374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15,210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profit share</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6,950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6,730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2,453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20,491</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24,393</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color w:val="000000"/>
          <w:sz w:val="20"/>
        </w:rPr>
        <w:t>Total revenue for the three months ended March 31, 2026</w:t>
      </w:r>
      <w:r>
        <w:rPr>
          <w:color w:val="000000"/>
          <w:shd w:fill="FFFFFF" w:val="clear"/>
        </w:rPr>
        <w:t xml:space="preserve"> </w:t>
      </w:r>
      <w:r>
        <w:rPr>
          <w:rFonts w:ascii="Arial;sans-serif" w:hAnsi="Arial;sans-serif"/>
          <w:b w:val="false"/>
          <w:color w:val="000000"/>
          <w:sz w:val="20"/>
        </w:rPr>
        <w:t>decrease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$3.9 million, or 16%, primarily driven by a $3.8 million decrease in program fee revenue as compared to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150"/>
                <wp:effectExtent l="0" t="0" r="0" b="0"/>
                <wp:wrapNone/>
                <wp:docPr id="23" name="Frame2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 xml:space="preserve">Program Fees. </w:t>
      </w:r>
      <w:r>
        <w:rPr>
          <w:rFonts w:ascii="Arial;sans-serif" w:hAnsi="Arial;sans-serif"/>
          <w:b w:val="false"/>
          <w:color w:val="000000"/>
          <w:sz w:val="20"/>
        </w:rPr>
        <w:t>Program fees revenue</w:t>
      </w:r>
      <w:r>
        <w:rPr>
          <w:color w:val="000000"/>
          <w:shd w:fill="FFFFFF" w:val="clear"/>
        </w:rPr>
        <w:t xml:space="preserve"> </w:t>
      </w:r>
      <w:r>
        <w:rPr>
          <w:rFonts w:ascii="Arial;sans-serif" w:hAnsi="Arial;sans-serif"/>
          <w:b w:val="false"/>
          <w:color w:val="000000"/>
          <w:sz w:val="20"/>
        </w:rPr>
        <w:t>decrease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$3.8 million, or 25%, primarily driven by a 24% decrease in certified loan volume and a 2% decrease in unit economics per certified loan.</w:t>
      </w:r>
    </w:p>
    <w:p>
      <w:pPr>
        <w:pStyle w:val="TextBody"/>
        <w:bidi w:val="0"/>
        <w:spacing w:lineRule="auto" w:line="288" w:before="120" w:after="283"/>
        <w:jc w:val="both"/>
        <w:rPr/>
      </w:pPr>
      <w:r>
        <w:rPr>
          <w:rFonts w:ascii="Arial;sans-serif" w:hAnsi="Arial;sans-serif"/>
          <w:b w:val="false"/>
          <w:i/>
          <w:color w:val="000000"/>
          <w:sz w:val="20"/>
        </w:rPr>
        <w:t xml:space="preserve">Profit Share. </w:t>
      </w:r>
      <w:r>
        <w:rPr>
          <w:rFonts w:ascii="Arial;sans-serif" w:hAnsi="Arial;sans-serif"/>
          <w:b w:val="false"/>
          <w:color w:val="000000"/>
          <w:sz w:val="20"/>
        </w:rPr>
        <w:t>Profit share revenue increased by $0.2 million, or 3%, primarily due to a $0.2 million, or 26%, decrease in the negative change in estimate adjustment during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2026, we recorded $7.7 million in anticipated profit share associated with 21,064 new certified loans for an average of $363 per loan, as compared to $7.7 million in anticipated profit share associated with 27,638 certified loans for an average of $278 per loan during the three months ended March 31, 2025. The increase in the average revenue per loan was due to an increase in expected future profit share consideration to be received from our insurance partners on the loans certified during the period based on current estimates of loan default rates, prepayment rates and severity of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during the three months ended March 31, 2026, we recorded a decrease in estimated profit share revenue of $0.7 million for changes in estimates of variable consideration related to performance obligations satisfied in previous periods, or historic vintages, primarily as a result of forecast assumption changes due to higher than anticipated loan default rates. During the three months ended March 31, 2025, we recorded a decrease of $0.9 million in profit share revenue for changes in estimates of variable consideration of historic vintages primarily due to higher than anticipated loan defaults, partially offset by lower than anticipated prepayment rates and severity of losses.</w:t>
      </w:r>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color w:val="000000"/>
        </w:rPr>
        <w:t xml:space="preserve"> </w:t>
      </w:r>
      <w:r>
        <w:rPr>
          <w:rFonts w:ascii="Arial;sans-serif" w:hAnsi="Arial;sans-serif"/>
          <w:b w:val="false"/>
          <w:color w:val="000000"/>
          <w:sz w:val="20"/>
          <w:shd w:fill="FFFFFF" w:val="clear"/>
        </w:rPr>
        <w:t xml:space="preserve">Revenue from claims administration and other service fees, which primarily represents 3% of our insurance partners’ earned premium,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$0.3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12%</w:t>
      </w:r>
      <w:r>
        <w:rPr>
          <w:rFonts w:ascii="Arial;sans-serif" w:hAnsi="Arial;sans-serif"/>
          <w:b w:val="false"/>
          <w:color w:val="000000"/>
          <w:sz w:val="20"/>
          <w:shd w:fill="FFFFFF" w:val="clear"/>
        </w:rPr>
        <w:t>, due to</w:t>
      </w:r>
      <w:r>
        <w:rPr>
          <w:color w:val="000000"/>
        </w:rPr>
        <w:t xml:space="preserve"> </w:t>
      </w:r>
      <w:r>
        <w:rPr>
          <w:rFonts w:ascii="Arial;sans-serif" w:hAnsi="Arial;sans-serif"/>
          <w:b w:val="false"/>
          <w:color w:val="000000"/>
          <w:sz w:val="20"/>
        </w:rPr>
        <w:t>a decrease in total</w:t>
      </w:r>
      <w:r>
        <w:rPr>
          <w:color w:val="000000"/>
          <w:shd w:fill="FFFFFF" w:val="clear"/>
        </w:rPr>
        <w:t xml:space="preserve"> </w:t>
      </w:r>
      <w:r>
        <w:rPr>
          <w:rFonts w:ascii="Arial;sans-serif" w:hAnsi="Arial;sans-serif"/>
          <w:b w:val="false"/>
          <w:color w:val="000000"/>
          <w:sz w:val="20"/>
          <w:shd w:fill="FFFFFF" w:val="clear"/>
        </w:rPr>
        <w:t>earned premiums.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379" w:type="dxa"/>
        <w:jc w:val="center"/>
        <w:tblInd w:w="0" w:type="dxa"/>
        <w:tblLayout w:type="fixed"/>
        <w:tblCellMar>
          <w:top w:w="28" w:type="dxa"/>
          <w:left w:w="28" w:type="dxa"/>
          <w:bottom w:w="28" w:type="dxa"/>
          <w:right w:w="28" w:type="dxa"/>
        </w:tblCellMar>
      </w:tblPr>
      <w:tblGrid>
        <w:gridCol w:w="560"/>
        <w:gridCol w:w="490"/>
        <w:gridCol w:w="495"/>
        <w:gridCol w:w="228"/>
        <w:gridCol w:w="814"/>
        <w:gridCol w:w="310"/>
        <w:gridCol w:w="118"/>
        <w:gridCol w:w="118"/>
        <w:gridCol w:w="118"/>
        <w:gridCol w:w="228"/>
        <w:gridCol w:w="814"/>
        <w:gridCol w:w="310"/>
        <w:gridCol w:w="109"/>
        <w:gridCol w:w="109"/>
        <w:gridCol w:w="109"/>
        <w:gridCol w:w="211"/>
        <w:gridCol w:w="706"/>
        <w:gridCol w:w="109"/>
        <w:gridCol w:w="109"/>
        <w:gridCol w:w="109"/>
        <w:gridCol w:w="109"/>
        <w:gridCol w:w="321"/>
        <w:gridCol w:w="321"/>
        <w:gridCol w:w="4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20,491</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24,393</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15,637</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18,309</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10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r>
    </w:tbl>
    <w:p>
      <w:pPr>
        <w:pStyle w:val="TextBody"/>
        <w:bidi w:val="0"/>
        <w:spacing w:lineRule="auto" w:line="288" w:before="120" w:after="283"/>
        <w:jc w:val="both"/>
        <w:rPr/>
      </w:pPr>
      <w:r>
        <w:rPr>
          <w:rFonts w:ascii="Arial;sans-serif" w:hAnsi="Arial;sans-serif"/>
          <w:b w:val="false"/>
          <w:i/>
          <w:color w:val="000000"/>
          <w:sz w:val="20"/>
        </w:rPr>
        <w:t>Cost of Services.</w:t>
      </w:r>
      <w:r>
        <w:rPr>
          <w:color w:val="000000"/>
        </w:rPr>
        <w:t xml:space="preserve"> </w:t>
      </w:r>
      <w:r>
        <w:rPr>
          <w:rFonts w:ascii="Arial;sans-serif" w:hAnsi="Arial;sans-serif"/>
          <w:b w:val="false"/>
          <w:color w:val="000000"/>
          <w:sz w:val="20"/>
        </w:rPr>
        <w:t>Cost of services decreased $1.2 million, or 20%, primarily due to decreases in employee compensation and benefit costs of $0.5 million, partner commissions of $0.5 million and fees paid to data service providers of $0.1 million.</w:t>
      </w:r>
    </w:p>
    <w:p>
      <w:pPr>
        <w:pStyle w:val="TextBody"/>
        <w:bidi w:val="0"/>
        <w:spacing w:lineRule="auto" w:line="288" w:before="120" w:after="283"/>
        <w:jc w:val="both"/>
        <w:rPr/>
      </w:pPr>
      <w:r>
        <w:rPr>
          <w:rFonts w:ascii="Arial;sans-serif" w:hAnsi="Arial;sans-serif"/>
          <w:b w:val="false"/>
          <w:i/>
          <w:color w:val="000000"/>
          <w:sz w:val="20"/>
        </w:rPr>
        <w:t>Gross Profit.</w:t>
      </w:r>
      <w:r>
        <w:rPr>
          <w:color w:val="000000"/>
        </w:rPr>
        <w:t xml:space="preserve"> </w:t>
      </w:r>
      <w:r>
        <w:rPr>
          <w:rFonts w:ascii="Arial;sans-serif" w:hAnsi="Arial;sans-serif"/>
          <w:b w:val="false"/>
          <w:color w:val="000000"/>
          <w:sz w:val="20"/>
        </w:rPr>
        <w:t>Gross profit 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by $2.7 million, or 15%, primarily driven by a decrease in program fee revenue, partially offset by a decrease in cost of services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 Operating Income (Loss) and Operating Margin</w:t>
      </w:r>
    </w:p>
    <w:tbl>
      <w:tblPr>
        <w:tblW w:w="8319" w:type="dxa"/>
        <w:jc w:val="center"/>
        <w:tblInd w:w="0" w:type="dxa"/>
        <w:tblLayout w:type="fixed"/>
        <w:tblCellMar>
          <w:top w:w="28" w:type="dxa"/>
          <w:left w:w="28" w:type="dxa"/>
          <w:bottom w:w="28" w:type="dxa"/>
          <w:right w:w="28" w:type="dxa"/>
        </w:tblCellMar>
      </w:tblPr>
      <w:tblGrid>
        <w:gridCol w:w="901"/>
        <w:gridCol w:w="793"/>
        <w:gridCol w:w="795"/>
        <w:gridCol w:w="419"/>
        <w:gridCol w:w="216"/>
        <w:gridCol w:w="568"/>
        <w:gridCol w:w="216"/>
        <w:gridCol w:w="216"/>
        <w:gridCol w:w="216"/>
        <w:gridCol w:w="419"/>
        <w:gridCol w:w="216"/>
        <w:gridCol w:w="568"/>
        <w:gridCol w:w="109"/>
        <w:gridCol w:w="109"/>
        <w:gridCol w:w="109"/>
        <w:gridCol w:w="211"/>
        <w:gridCol w:w="706"/>
        <w:gridCol w:w="109"/>
        <w:gridCol w:w="109"/>
        <w:gridCol w:w="109"/>
        <w:gridCol w:w="109"/>
        <w:gridCol w:w="321"/>
        <w:gridCol w:w="321"/>
        <w:gridCol w:w="4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11,585</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16,270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 (loss)</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(183)%</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margin</w:t>
            </w:r>
          </w:p>
        </w:tc>
        <w:tc>
          <w:tcPr>
            <w:tcW w:w="6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5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5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r>
    </w:tbl>
    <w:p>
      <w:pPr>
        <w:pStyle w:val="TextBody"/>
        <w:bidi w:val="0"/>
        <w:spacing w:lineRule="auto" w:line="288" w:before="240" w:after="283"/>
        <w:jc w:val="both"/>
        <w:rPr/>
      </w:pP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expenses increased by $0.7 million, or 6%, primarily driven by non-recurring legal fees of $0.8 million and increases in other professional fees of $0.2 million,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150"/>
                <wp:effectExtent l="0" t="0" r="0" b="0"/>
                <wp:wrapNone/>
                <wp:docPr id="24" name="Frame2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$0.5 million decrease in employee compensation and benefit costs primarily due to a reduction in severance expenses.</w:t>
      </w:r>
    </w:p>
    <w:p>
      <w:pPr>
        <w:pStyle w:val="TextBody"/>
        <w:bidi w:val="0"/>
        <w:spacing w:lineRule="auto" w:line="288" w:before="120" w:after="283"/>
        <w:jc w:val="both"/>
        <w:rPr/>
      </w:pP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Selling and marketing expenses decreased $1.5 million, or 33%, primarily due to decreases in employee compensation and benefit costs of $1.1 million, business development and marketing expenses of $0.2 million and travel, meals and entertainment expenses of $0.1 million.</w:t>
      </w:r>
    </w:p>
    <w:p>
      <w:pPr>
        <w:pStyle w:val="TextBody"/>
        <w:bidi w:val="0"/>
        <w:spacing w:lineRule="auto" w:line="288" w:before="120" w:after="283"/>
        <w:jc w:val="both"/>
        <w:rPr/>
      </w:pP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shd w:fill="FFFFFF" w:val="clear"/>
        </w:rPr>
        <w:t xml:space="preserve">Research and development expenses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$0.5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22%,</w:t>
      </w:r>
      <w:r>
        <w:rPr>
          <w:color w:val="000000"/>
          <w:shd w:fill="FFFFFF" w:val="clear"/>
        </w:rPr>
        <w:t xml:space="preserve"> </w:t>
      </w:r>
      <w:r>
        <w:rPr>
          <w:rFonts w:ascii="Arial;sans-serif" w:hAnsi="Arial;sans-serif"/>
          <w:b w:val="false"/>
          <w:color w:val="000000"/>
          <w:sz w:val="20"/>
          <w:shd w:fill="FFFFFF" w:val="clear"/>
        </w:rPr>
        <w:t>primarily due to</w:t>
      </w:r>
      <w:r>
        <w:rPr>
          <w:color w:val="000000"/>
        </w:rPr>
        <w:t xml:space="preserve"> </w:t>
      </w:r>
      <w:r>
        <w:rPr>
          <w:rFonts w:ascii="Arial;sans-serif" w:hAnsi="Arial;sans-serif"/>
          <w:b w:val="false"/>
          <w:color w:val="000000"/>
          <w:sz w:val="20"/>
        </w:rPr>
        <w:t>a decrease in employee compensation and benefit costs.</w:t>
      </w:r>
    </w:p>
    <w:p>
      <w:pPr>
        <w:pStyle w:val="TextBody"/>
        <w:bidi w:val="0"/>
        <w:spacing w:lineRule="auto" w:line="288" w:before="120" w:after="283"/>
        <w:jc w:val="both"/>
        <w:rPr/>
      </w:pPr>
      <w:r>
        <w:rPr>
          <w:rFonts w:ascii="Arial;sans-serif" w:hAnsi="Arial;sans-serif"/>
          <w:b w:val="false"/>
          <w:i/>
          <w:color w:val="000000"/>
          <w:sz w:val="20"/>
        </w:rPr>
        <w:t>Operating Income (Loss).</w:t>
      </w:r>
      <w:r>
        <w:rPr>
          <w:color w:val="000000"/>
        </w:rPr>
        <w:t xml:space="preserve"> </w:t>
      </w:r>
      <w:r>
        <w:rPr>
          <w:rFonts w:ascii="Arial;sans-serif" w:hAnsi="Arial;sans-serif"/>
          <w:b w:val="false"/>
          <w:color w:val="000000"/>
          <w:sz w:val="20"/>
        </w:rPr>
        <w:t xml:space="preserve">Operating income decreased by $1.4 million, </w:t>
      </w:r>
      <w:r>
        <w:rPr>
          <w:rFonts w:ascii="Arial;sans-serif" w:hAnsi="Arial;sans-serif"/>
          <w:b w:val="false"/>
          <w:color w:val="000000"/>
          <w:sz w:val="20"/>
          <w:shd w:fill="FFFFFF" w:val="clear"/>
        </w:rPr>
        <w:t>primarily driven by a decrease in total revenue, partially offset by decreases in cost of services and operating expenses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 and Interest Income</w:t>
      </w:r>
    </w:p>
    <w:tbl>
      <w:tblPr>
        <w:tblW w:w="8171" w:type="dxa"/>
        <w:jc w:val="left"/>
        <w:tblInd w:w="0" w:type="dxa"/>
        <w:tblLayout w:type="fixed"/>
        <w:tblCellMar>
          <w:top w:w="28" w:type="dxa"/>
          <w:left w:w="28" w:type="dxa"/>
          <w:bottom w:w="28" w:type="dxa"/>
          <w:right w:w="28" w:type="dxa"/>
        </w:tblCellMar>
      </w:tblPr>
      <w:tblGrid>
        <w:gridCol w:w="570"/>
        <w:gridCol w:w="500"/>
        <w:gridCol w:w="504"/>
        <w:gridCol w:w="545"/>
        <w:gridCol w:w="353"/>
        <w:gridCol w:w="353"/>
        <w:gridCol w:w="281"/>
        <w:gridCol w:w="281"/>
        <w:gridCol w:w="281"/>
        <w:gridCol w:w="545"/>
        <w:gridCol w:w="353"/>
        <w:gridCol w:w="353"/>
        <w:gridCol w:w="109"/>
        <w:gridCol w:w="109"/>
        <w:gridCol w:w="109"/>
        <w:gridCol w:w="480"/>
        <w:gridCol w:w="291"/>
        <w:gridCol w:w="295"/>
        <w:gridCol w:w="109"/>
        <w:gridCol w:w="109"/>
        <w:gridCol w:w="109"/>
        <w:gridCol w:w="350"/>
        <w:gridCol w:w="350"/>
        <w:gridCol w:w="351"/>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i/>
          <w:color w:val="000000"/>
          <w:sz w:val="20"/>
          <w:shd w:fill="FFFFFF" w:val="clear"/>
        </w:rPr>
        <w:t xml:space="preserve">Interest Expense. </w:t>
      </w:r>
      <w:r>
        <w:rPr>
          <w:rFonts w:ascii="Arial;sans-serif" w:hAnsi="Arial;sans-serif"/>
          <w:b w:val="false"/>
          <w:color w:val="000000"/>
          <w:sz w:val="20"/>
          <w:shd w:fill="FFFFFF" w:val="clear"/>
        </w:rPr>
        <w:t xml:space="preserve">Interest expense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$1.3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49%</w:t>
      </w:r>
      <w:r>
        <w:rPr>
          <w:rFonts w:ascii="Arial;sans-serif" w:hAnsi="Arial;sans-serif"/>
          <w:b w:val="false"/>
          <w:color w:val="000000"/>
          <w:sz w:val="20"/>
          <w:shd w:fill="FFFFFF" w:val="clear"/>
        </w:rPr>
        <w:t>, as a result of lower borrowing costs primarily due to a reduction in our principal balance during the period</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i/>
          <w:color w:val="000000"/>
          <w:sz w:val="20"/>
          <w:shd w:fill="FFFFFF" w:val="clear"/>
        </w:rPr>
        <w:t xml:space="preserve">Interest Income. </w:t>
      </w:r>
      <w:r>
        <w:rPr>
          <w:rFonts w:ascii="Arial;sans-serif" w:hAnsi="Arial;sans-serif"/>
          <w:b w:val="false"/>
          <w:color w:val="000000"/>
          <w:sz w:val="20"/>
        </w:rPr>
        <w:t>Interest income decreased $1.0 million, or 40%, primarily due to a decrease in interest earned on our cash equivalents.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Income Taxes</w:t>
      </w:r>
    </w:p>
    <w:tbl>
      <w:tblPr>
        <w:tblW w:w="9563" w:type="dxa"/>
        <w:jc w:val="left"/>
        <w:tblInd w:w="0" w:type="dxa"/>
        <w:tblLayout w:type="fixed"/>
        <w:tblCellMar>
          <w:top w:w="28" w:type="dxa"/>
          <w:left w:w="28" w:type="dxa"/>
          <w:bottom w:w="28" w:type="dxa"/>
          <w:right w:w="28" w:type="dxa"/>
        </w:tblCellMar>
      </w:tblPr>
      <w:tblGrid>
        <w:gridCol w:w="1134"/>
        <w:gridCol w:w="998"/>
        <w:gridCol w:w="1003"/>
        <w:gridCol w:w="545"/>
        <w:gridCol w:w="281"/>
        <w:gridCol w:w="281"/>
        <w:gridCol w:w="281"/>
        <w:gridCol w:w="281"/>
        <w:gridCol w:w="281"/>
        <w:gridCol w:w="545"/>
        <w:gridCol w:w="281"/>
        <w:gridCol w:w="281"/>
        <w:gridCol w:w="109"/>
        <w:gridCol w:w="109"/>
        <w:gridCol w:w="109"/>
        <w:gridCol w:w="480"/>
        <w:gridCol w:w="350"/>
        <w:gridCol w:w="355"/>
        <w:gridCol w:w="109"/>
        <w:gridCol w:w="109"/>
        <w:gridCol w:w="109"/>
        <w:gridCol w:w="350"/>
        <w:gridCol w:w="350"/>
        <w:gridCol w:w="351"/>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Arial;sans-serif" w:hAnsi="Arial;sans-serif"/>
          <w:b w:val="false"/>
          <w:i/>
          <w:color w:val="000000"/>
          <w:sz w:val="20"/>
        </w:rPr>
        <w:t>Income Tax Expense (Benefit</w:t>
      </w:r>
      <w:r>
        <w:rPr>
          <w:rFonts w:ascii="Arial;sans-serif" w:hAnsi="Arial;sans-serif"/>
          <w:b w:val="false"/>
          <w:color w:val="000000"/>
          <w:sz w:val="20"/>
        </w:rPr>
        <w:t>). Income tax expense decreased $0.1 million, primarily due to the impact of the loss before income taxes for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liquidity primarily in terms of our ability to generate cash to fund operating and investing activities. A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and related cash flows, and may continue to adversely affect our future expected cash flows. Despite this uncertainty, we believe that our existing cash resources and the Revolving Credit Facility will provide sufficient liquidity to fund our working capital needs for the next 12 months and the foreseeable future thereafter. We regularly evaluate alternatives for managing our capital structure and liquidity profile in consideration of expected cash flows, growth and operating capital requirements and capital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150"/>
                <wp:effectExtent l="0" t="0" r="0" b="0"/>
                <wp:wrapNone/>
                <wp:docPr id="25" name="Frame2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6323" w:type="dxa"/>
        <w:jc w:val="left"/>
        <w:tblInd w:w="0" w:type="dxa"/>
        <w:tblLayout w:type="fixed"/>
        <w:tblCellMar>
          <w:top w:w="28" w:type="dxa"/>
          <w:left w:w="28" w:type="dxa"/>
          <w:bottom w:w="28" w:type="dxa"/>
          <w:right w:w="28" w:type="dxa"/>
        </w:tblCellMar>
      </w:tblPr>
      <w:tblGrid>
        <w:gridCol w:w="1190"/>
        <w:gridCol w:w="1043"/>
        <w:gridCol w:w="1051"/>
        <w:gridCol w:w="284"/>
        <w:gridCol w:w="729"/>
        <w:gridCol w:w="146"/>
        <w:gridCol w:w="146"/>
        <w:gridCol w:w="146"/>
        <w:gridCol w:w="146"/>
        <w:gridCol w:w="284"/>
        <w:gridCol w:w="951"/>
        <w:gridCol w:w="20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(used in) operating activities reflect net income (loss) adjusted for certain non-cash items and changes in operating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the adjustments in the operating activities in the Condensed Consolidated Statement of Cash Flows:</w:t>
      </w:r>
    </w:p>
    <w:tbl>
      <w:tblPr>
        <w:tblW w:w="6534" w:type="dxa"/>
        <w:jc w:val="left"/>
        <w:tblInd w:w="0" w:type="dxa"/>
        <w:tblLayout w:type="fixed"/>
        <w:tblCellMar>
          <w:top w:w="28" w:type="dxa"/>
          <w:left w:w="28" w:type="dxa"/>
          <w:bottom w:w="28" w:type="dxa"/>
          <w:right w:w="28" w:type="dxa"/>
        </w:tblCellMar>
      </w:tblPr>
      <w:tblGrid>
        <w:gridCol w:w="1268"/>
        <w:gridCol w:w="1111"/>
        <w:gridCol w:w="1116"/>
        <w:gridCol w:w="284"/>
        <w:gridCol w:w="729"/>
        <w:gridCol w:w="146"/>
        <w:gridCol w:w="146"/>
        <w:gridCol w:w="146"/>
        <w:gridCol w:w="146"/>
        <w:gridCol w:w="284"/>
        <w:gridCol w:w="951"/>
        <w:gridCol w:w="207"/>
      </w:tblGrid>
      <w:tr>
        <w:trPr/>
        <w:tc>
          <w:tcPr>
            <w:tcW w:w="126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617</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excess profit share receipts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(764)</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(3,838)</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2026, net cash used in operating activities decreased by $3.1 million, primarily attributable to a $2.2 million increase in income tax refunds received during the period, increased cash collections of $1.4 million, and a $1.2 million reduction in interest expense paid. The decrease in cash used in operating activities was partially offset by a $1.0 million decrease in interest income received and $0.8 million increase in cash payments related to cost of services and operating expenses.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2026 and 2025, net cash used in investing activities was $0.3 million and $0.6 million, respectively, primarily related to capitalized software development costs related to our cloud-based solution and other software developed for internal use.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payments of debt and share repurchases, and shares withheld to satisfy payroll tax withholding requirements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2026, net cash used in financing activities was $2.2 million and includes a $1.9 million principal payment on our Term Loan due 2027 and $0.3 million for shares withheld for payroll taxes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net cash used in financing activities was $2.6 million and included a $1.9 million principal payment on our Term Loan due 2027 and $0.8 million for shares withheld for payroll taxes associated with the vesting of restricted stock awards.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As of March 31, 2026, we had no amounts outstanding under the Revolving Credit Facility and $82.9 million outstanding under our Term Loan due 2027. Refer to Note 4</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in the Notes to Condensed Consolidated Financial Statements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150"/>
                <wp:effectExtent l="0" t="0" r="0" b="0"/>
                <wp:wrapNone/>
                <wp:docPr id="26" name="Frame2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Share Repurchase Program Extension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April 30, 2026, the Board of Directors increased the maximum aggregate amount of the Share Repurchase Program from $25.0 million to $50.0 million and extended the expiration date from May 1, 2026 to May 1, 2027. Repurchases may be made at management’s discretion from time to time on the open market. The Share Repurchase Program may be suspended, amended, or discontinued at any time. As of March 31, 2026, we had $20.1 million available under the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used by management to evaluate our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we these measures further provide useful analysis of period-to-period comparisons of our business, as they exclude the effect of certain non-cash items and certain variable charges.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Beginning in the quarter ended June 30, 2025, we updated the presentation of Adjusted EBITDA to exclude interest income as we believe the exclusion of interest income aligns our definition with comparable companies. In addition, beginning in the quarter ended September 30, 2025, we have updated the presentation of Adjusted EBITDA to exclude certain other non-recurring expenses that do not contribute directly to management’s evaluation of our operating results. Prior periods presented below have been conformed to the current period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defined as GAAP net income (loss) excluding interest expense (income), income tax expense (benefit), depreciation expense of property and equipment, amortization expense of capitalized software development costs, share-based compensation expense, loss on extinguishment of debt and certain other non-recurring expenses that do not contribute directly to management’s evaluation of our operating results. Adjusted EBITDA margin is defined as Adjusted EBITDA expressed as a percentage of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(loss) to Adjusted EBITDA for each of the periods indicated:</w:t>
      </w:r>
    </w:p>
    <w:tbl>
      <w:tblPr>
        <w:tblW w:w="6598" w:type="dxa"/>
        <w:jc w:val="center"/>
        <w:tblInd w:w="0" w:type="dxa"/>
        <w:tblLayout w:type="fixed"/>
        <w:tblCellMar>
          <w:top w:w="28" w:type="dxa"/>
          <w:left w:w="28" w:type="dxa"/>
          <w:bottom w:w="28" w:type="dxa"/>
          <w:right w:w="28" w:type="dxa"/>
        </w:tblCellMar>
      </w:tblPr>
      <w:tblGrid>
        <w:gridCol w:w="1264"/>
        <w:gridCol w:w="1112"/>
        <w:gridCol w:w="1119"/>
        <w:gridCol w:w="241"/>
        <w:gridCol w:w="738"/>
        <w:gridCol w:w="395"/>
        <w:gridCol w:w="124"/>
        <w:gridCol w:w="124"/>
        <w:gridCol w:w="124"/>
        <w:gridCol w:w="241"/>
        <w:gridCol w:w="738"/>
        <w:gridCol w:w="378"/>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March 31, </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thousands, except margin data)</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(460)</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617</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non-recurring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adjustments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2,436</w:t>
            </w:r>
            <w:r>
              <w:rPr>
                <w:color w:val="000000"/>
              </w:rPr>
              <w:t>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2,535</w:t>
            </w: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1,976</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3,152</w:t>
            </w: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Net income (loss) margin</w:t>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3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w:t>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2026, Adjusted EBITDA decreased by $1.2 million, or 37%, as compared to the three months ended March 31, 2025. The decrease in Adjusted EBITDA during the three months ended March 31, 2026 reflects the decrease in operating income, primarily driven by our reduced total revenue related to lower certified loan volume. For the three months ended March 31, 2026, the adjustment for other non-recurring expense includes certain non-recurring legal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not been any material changes during the three months ended March 31, 2026 to the methodology applied by management for critical accounting policies previously disclosed in our Annual Report. Please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150"/>
                <wp:effectExtent l="0" t="0" r="0" b="0"/>
                <wp:wrapNone/>
                <wp:docPr id="27" name="Frame2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color w:val="000000"/>
        </w:rPr>
        <w:t>“</w:t>
      </w:r>
      <w:r>
        <w:rPr>
          <w:rFonts w:ascii="Arial;sans-serif" w:hAnsi="Arial;sans-serif"/>
          <w:b w:val="false"/>
          <w:i/>
          <w:color w:val="000000"/>
          <w:sz w:val="20"/>
        </w:rPr>
        <w:t>Part II, Item 7. Management’s Discussion and Analysis of Financial Condition and Results of Operations—Critical Accounting Policies and Estimates</w:t>
      </w:r>
      <w:r>
        <w:rPr>
          <w:color w:val="000000"/>
        </w:rPr>
        <w:t xml:space="preserve">” </w:t>
      </w:r>
      <w:r>
        <w:rPr>
          <w:rFonts w:ascii="Arial;sans-serif" w:hAnsi="Arial;sans-serif"/>
          <w:b w:val="false"/>
          <w:color w:val="000000"/>
          <w:sz w:val="20"/>
        </w:rPr>
        <w:t>in our Annual Report for further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60" w:after="283"/>
        <w:jc w:val="both"/>
        <w:rPr/>
      </w:pPr>
      <w:r>
        <w:rPr>
          <w:rFonts w:ascii="Arial;sans-serif" w:hAnsi="Arial;sans-serif"/>
          <w:b w:val="false"/>
          <w:color w:val="000000"/>
          <w:sz w:val="20"/>
        </w:rPr>
        <w:t>Refer to Note 2—</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to the accompanying condensed consolidated financial statements for our discussion about new accounting pronouncements adopted and those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and Other Obligations</w:t>
      </w:r>
    </w:p>
    <w:p>
      <w:pPr>
        <w:pStyle w:val="TextBody"/>
        <w:bidi w:val="0"/>
        <w:spacing w:lineRule="auto" w:line="288" w:before="120" w:after="283"/>
        <w:jc w:val="both"/>
        <w:rPr/>
      </w:pPr>
      <w:r>
        <w:rPr>
          <w:rFonts w:ascii="Arial;sans-serif" w:hAnsi="Arial;sans-serif"/>
          <w:b w:val="false"/>
          <w:color w:val="000000"/>
          <w:sz w:val="20"/>
        </w:rPr>
        <w:t>We had no material changes in our contractual commitments and obligations during the three months ended March 31, 2026 from the amounts listed under “</w:t>
      </w:r>
      <w:r>
        <w:rPr>
          <w:rFonts w:ascii="Arial;sans-serif" w:hAnsi="Arial;sans-serif"/>
          <w:b w:val="false"/>
          <w:i/>
          <w:color w:val="000000"/>
          <w:sz w:val="20"/>
        </w:rPr>
        <w:t>Part II, Item 7. Management’s Discussion and Analysis of Financial Condition and Results of Operations—Contractual Obligations</w:t>
      </w:r>
      <w:r>
        <w:rPr>
          <w:color w:val="000000"/>
        </w:rPr>
        <w:t xml:space="preserve">” </w:t>
      </w:r>
      <w:r>
        <w:rPr>
          <w:rFonts w:ascii="Arial;sans-serif" w:hAnsi="Arial;sans-serif"/>
          <w:b w:val="false"/>
          <w:color w:val="000000"/>
          <w:sz w:val="20"/>
        </w:rPr>
        <w:t>in our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150"/>
                <wp:effectExtent l="0" t="0" r="0" b="0"/>
                <wp:wrapNone/>
                <wp:docPr id="28" name="Frame2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 prolonged U.S. government shutdown,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three active insurance partners for a significant portion of our profit share and claims administration service fee revenue. Termination or disruption of these relationships could materially and adversely impact our revenue. See “</w:t>
      </w:r>
      <w:r>
        <w:rPr>
          <w:rFonts w:ascii="Arial;sans-serif" w:hAnsi="Arial;sans-serif"/>
          <w:b w:val="false"/>
          <w:i/>
          <w:color w:val="000000"/>
          <w:sz w:val="20"/>
        </w:rPr>
        <w:t>Item 1A—Risk Factors—Risks Related to Our Business—If we lose one or more of our insurance carriers and are unable to replace their commitments, it could have a material adverse effect on our business</w:t>
      </w:r>
      <w:r>
        <w:rPr>
          <w:color w:val="000000"/>
        </w:rPr>
        <w:t xml:space="preserve">” </w:t>
      </w:r>
      <w:r>
        <w:rPr>
          <w:rFonts w:ascii="Arial;sans-serif" w:hAnsi="Arial;sans-serif"/>
          <w:b w:val="false"/>
          <w:color w:val="000000"/>
          <w:sz w:val="20"/>
        </w:rPr>
        <w:t xml:space="preserve">in our Annual Report.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Our Term Loan due 2027 also exposes us to changes in short-term interest rates since interest rates on the underlying obligation are variable.</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As of March 31, 2026, we had outstanding amounts of $83.3 million under the Term Loan due 2027, which is scheduled to mature on September 9, 2027. There were no amounts outstanding under the Revolving Credit Facility as of March 31, 2026.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150"/>
                <wp:effectExtent l="0" t="0" r="0" b="0"/>
                <wp:wrapNone/>
                <wp:docPr id="29" name="Frame2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150"/>
                <wp:effectExtent l="0" t="0" r="0" b="0"/>
                <wp:wrapNone/>
                <wp:docPr id="30" name="Frame2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Except as described herein, 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to the other information set forth in this Quarterly Report, you should carefully consider the risk factors described in Part I, Item 1A. “Risk Factors” of our Annual Report, which could materially affect our business, financial condition or future results. Additional risks and uncertainties not presently known to us or that we currently believe to be immaterial may also materially and adversely affect our business, financial condition or future results. There have been no material changes in our risk factors from those described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150"/>
                <wp:effectExtent l="0" t="0" r="0" b="0"/>
                <wp:wrapNone/>
                <wp:docPr id="31" name="Frame3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93"/>
        <w:gridCol w:w="2612"/>
        <w:gridCol w:w="372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80"/>
                  <w:sz w:val="20"/>
                  <w:u w:val="single"/>
                </w:rPr>
                <w:t>Cooperation Agreement, dated as of March 6, 2026, by and among Open Lending Corporation, Palogic Value Management, L.P., Palogic Value Fund, L.P.</w:t>
              </w:r>
            </w:hyperlink>
            <w:hyperlink r:id="rId6">
              <w:r>
                <w:rPr>
                  <w:rStyle w:val="InternetLink"/>
                  <w:rFonts w:ascii="Arial;sans-serif" w:hAnsi="Arial;sans-serif"/>
                  <w:b w:val="false"/>
                  <w:color w:val="000080"/>
                  <w:sz w:val="20"/>
                  <w:u w:val="single"/>
                </w:rPr>
                <w:t xml:space="preserve"> and Palogic Capital Management</w:t>
              </w:r>
            </w:hyperlink>
            <w:hyperlink r:id="rId7">
              <w:r>
                <w:rPr>
                  <w:rStyle w:val="InternetLink"/>
                  <w:rFonts w:ascii="Arial;sans-serif" w:hAnsi="Arial;sans-serif"/>
                  <w:b w:val="false"/>
                  <w:color w:val="000080"/>
                  <w:sz w:val="20"/>
                  <w:u w:val="single"/>
                </w:rPr>
                <w:t>, LLC (incorporated by reference to Exhibit 10.1 to Open Lending Corporation</w:t>
              </w:r>
            </w:hyperlink>
            <w:hyperlink r:id="rId8">
              <w:r>
                <w:rPr>
                  <w:rStyle w:val="InternetLink"/>
                  <w:rFonts w:ascii="Arial;sans-serif" w:hAnsi="Arial;sans-serif"/>
                  <w:b w:val="false"/>
                  <w:color w:val="000080"/>
                  <w:sz w:val="20"/>
                  <w:u w:val="single"/>
                </w:rPr>
                <w:t>’</w:t>
              </w:r>
            </w:hyperlink>
            <w:hyperlink r:id="rId9">
              <w:r>
                <w:rPr>
                  <w:rStyle w:val="InternetLink"/>
                  <w:rFonts w:ascii="Arial;sans-serif" w:hAnsi="Arial;sans-serif"/>
                  <w:b w:val="false"/>
                  <w:color w:val="000080"/>
                  <w:sz w:val="20"/>
                  <w:u w:val="single"/>
                </w:rPr>
                <w:t xml:space="preserve">s Current Report on Form 8-K filed March </w:t>
              </w:r>
            </w:hyperlink>
            <w:hyperlink r:id="rId10">
              <w:r>
                <w:rPr>
                  <w:rStyle w:val="InternetLink"/>
                  <w:rFonts w:ascii="Arial;sans-serif" w:hAnsi="Arial;sans-serif"/>
                  <w:b w:val="false"/>
                  <w:color w:val="000080"/>
                  <w:sz w:val="20"/>
                  <w:u w:val="single"/>
                </w:rPr>
                <w:t>6,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60331ex311.htm">
              <w:r>
                <w:rPr>
                  <w:rStyle w:val="InternetLink"/>
                  <w:rFonts w:ascii="Arial;sans-serif" w:hAnsi="Arial;sans-serif"/>
                  <w:b w:val="false"/>
                  <w:color w:val="0000FF"/>
                  <w:sz w:val="20"/>
                  <w:u w:val="single"/>
                </w:rPr>
                <w:t>Certification of the Chief Executive Officer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60331ex312.htm">
              <w:r>
                <w:rPr>
                  <w:rStyle w:val="InternetLink"/>
                  <w:rFonts w:ascii="Arial;sans-serif" w:hAnsi="Arial;sans-serif"/>
                  <w:b w:val="false"/>
                  <w:color w:val="0000FF"/>
                  <w:sz w:val="20"/>
                  <w:u w:val="single"/>
                </w:rPr>
                <w:t>Certification of the Chief Financial Officer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60331ex321.htm">
              <w:r>
                <w:rPr>
                  <w:rStyle w:val="InternetLink"/>
                  <w:rFonts w:ascii="Arial;sans-serif" w:hAnsi="Arial;sans-serif"/>
                  <w:b w:val="false"/>
                  <w:color w:val="0000FF"/>
                  <w:sz w:val="20"/>
                  <w:u w:val="single"/>
                </w:rPr>
                <w:t>Certification of the Chief Executive Officer and the Chief Financial Officer pursuant to Section 906 of the Sarbanes-Oxley Act of 2002 (18 U.S.C. § 1350).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financial statements from Open Lending Corporation’s Quarterly Report on Form 10-Q for the quarterly period ended March 31, 2026, formatted in iXBRL (Inline eXtensible Business Reporting Language):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Condensed Consolidated Balance Sheets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Condensed Consolidated Statement of Operations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(iii) Condensed Consolidated Statements of Changes in Stockholders’ Equity</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Condensed Consolidated Statements of Cash Flows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Condensed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60" w:after="283"/>
        <w:jc w:val="both"/>
        <w:rPr/>
      </w:pPr>
      <w:hyperlink w:anchor="i82d27a24d0294b6594f0fb5f4988a9c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319" w:type="dxa"/>
        <w:jc w:val="left"/>
        <w:tblInd w:w="0" w:type="dxa"/>
        <w:tblLayout w:type="fixed"/>
        <w:tblCellMar>
          <w:top w:w="28" w:type="dxa"/>
          <w:left w:w="28" w:type="dxa"/>
          <w:bottom w:w="28" w:type="dxa"/>
          <w:right w:w="28" w:type="dxa"/>
        </w:tblCellMar>
      </w:tblPr>
      <w:tblGrid>
        <w:gridCol w:w="433"/>
        <w:gridCol w:w="382"/>
        <w:gridCol w:w="384"/>
        <w:gridCol w:w="914"/>
        <w:gridCol w:w="914"/>
        <w:gridCol w:w="1292"/>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8, 2026</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tbl>
      <w:tblPr>
        <w:tblW w:w="5114" w:type="dxa"/>
        <w:jc w:val="left"/>
        <w:tblInd w:w="0" w:type="dxa"/>
        <w:tblLayout w:type="fixed"/>
        <w:tblCellMar>
          <w:top w:w="28" w:type="dxa"/>
          <w:left w:w="28" w:type="dxa"/>
          <w:bottom w:w="28" w:type="dxa"/>
          <w:right w:w="28" w:type="dxa"/>
        </w:tblCellMar>
      </w:tblPr>
      <w:tblGrid>
        <w:gridCol w:w="433"/>
        <w:gridCol w:w="382"/>
        <w:gridCol w:w="384"/>
        <w:gridCol w:w="1145"/>
        <w:gridCol w:w="1145"/>
        <w:gridCol w:w="162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8, 2026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150"/>
                <wp:effectExtent l="0" t="0" r="0" b="0"/>
                <wp:wrapNone/>
                <wp:docPr id="33" name="Frame3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Jessica Buss,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4319" w:type="dxa"/>
        <w:jc w:val="left"/>
        <w:tblInd w:w="0" w:type="dxa"/>
        <w:tblLayout w:type="fixed"/>
        <w:tblCellMar>
          <w:top w:w="28" w:type="dxa"/>
          <w:left w:w="28" w:type="dxa"/>
          <w:bottom w:w="28" w:type="dxa"/>
          <w:right w:w="28" w:type="dxa"/>
        </w:tblCellMar>
      </w:tblPr>
      <w:tblGrid>
        <w:gridCol w:w="624"/>
        <w:gridCol w:w="547"/>
        <w:gridCol w:w="553"/>
        <w:gridCol w:w="760"/>
        <w:gridCol w:w="760"/>
        <w:gridCol w:w="1075"/>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2026</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Massimo Monaco,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5639" w:type="dxa"/>
        <w:jc w:val="left"/>
        <w:tblInd w:w="0" w:type="dxa"/>
        <w:tblLayout w:type="fixed"/>
        <w:tblCellMar>
          <w:top w:w="28" w:type="dxa"/>
          <w:left w:w="28" w:type="dxa"/>
          <w:bottom w:w="28" w:type="dxa"/>
          <w:right w:w="28" w:type="dxa"/>
        </w:tblCellMar>
      </w:tblPr>
      <w:tblGrid>
        <w:gridCol w:w="624"/>
        <w:gridCol w:w="547"/>
        <w:gridCol w:w="553"/>
        <w:gridCol w:w="1145"/>
        <w:gridCol w:w="1145"/>
        <w:gridCol w:w="1625"/>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2026</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for the quarter ended March 31, 2026 of Open Lending Corporation, a Delaware corporation (the “Company”), as filed with the Securities and Exchange Commission on the date hereof (the “Form 10-Q”), I, Jessica Buss, Chief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10-Q fairly presents, in all material respects, the financial condition and result of operations of the Company.</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2026</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for the quarter ended March 31, 2026 of Open Lending Corporation, a Delaware corporation (the “Company”), as filed with the Securities and Exchange Commission on the date hereof (the “Form 10-Q”), I, Massimo Monaco, Chief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10-Q fairly presents, in all material respects, the financial condition and result of operations of the Company.</w: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201/000119312520169633/d941403dex31.htm" TargetMode="External"/><Relationship Id="rId4" Type="http://schemas.openxmlformats.org/officeDocument/2006/relationships/hyperlink" Target="https://www.sec.gov/Archives/edgar/data/1806201/000119312520169633/d941403dex32.htm" TargetMode="External"/><Relationship Id="rId5" Type="http://schemas.openxmlformats.org/officeDocument/2006/relationships/hyperlink" Target="https://www.sec.gov/Archives/edgar/data/1806201/000180620126000018/lpro-20260306ex101.htm" TargetMode="External"/><Relationship Id="rId6" Type="http://schemas.openxmlformats.org/officeDocument/2006/relationships/hyperlink" Target="https://www.sec.gov/Archives/edgar/data/1806201/000180620126000018/lpro-20260306ex101.htm" TargetMode="External"/><Relationship Id="rId7" Type="http://schemas.openxmlformats.org/officeDocument/2006/relationships/hyperlink" Target="https://www.sec.gov/Archives/edgar/data/1806201/000180620126000018/lpro-20260306ex101.htm" TargetMode="External"/><Relationship Id="rId8" Type="http://schemas.openxmlformats.org/officeDocument/2006/relationships/hyperlink" Target="https://www.sec.gov/Archives/edgar/data/1806201/000180620126000018/lpro-20260306ex101.htm" TargetMode="External"/><Relationship Id="rId9" Type="http://schemas.openxmlformats.org/officeDocument/2006/relationships/hyperlink" Target="https://www.sec.gov/Archives/edgar/data/1806201/000180620126000018/lpro-20260306ex101.htm" TargetMode="External"/><Relationship Id="rId10" Type="http://schemas.openxmlformats.org/officeDocument/2006/relationships/hyperlink" Target="https://www.sec.gov/Archives/edgar/data/1806201/000180620126000018/lpro-20260306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13153</Words>
  <Characters>74182</Characters>
  <CharactersWithSpaces>86285</CharactersWithSpaces>
  <Paragraphs>1537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