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001-39326</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Open Lending Corp</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689" w:type="dxa"/>
                    <w:jc w:val="center"/>
                    <w:tblInd w:w="0" w:type="dxa"/>
                    <w:tblLayout w:type="fixed"/>
                    <w:tblCellMar>
                      <w:top w:w="28" w:type="dxa"/>
                      <w:left w:w="28" w:type="dxa"/>
                      <w:bottom w:w="28" w:type="dxa"/>
                      <w:right w:w="28" w:type="dxa"/>
                    </w:tblCellMar>
                  </w:tblPr>
                  <w:tblGrid>
                    <w:gridCol w:w="2206"/>
                    <w:gridCol w:w="1441"/>
                    <w:gridCol w:w="1591"/>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84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Embarcadero Center</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84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5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84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(513) 618-7161</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2026-07-30</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lproform25.txt"/>
      <w:bookmarkStart w:id="6" w:name="kslproform25"/>
      <w:bookmarkEnd w:id="5"/>
      <w:bookmarkEnd w:id="6"/>
      <w:r>
        <w:rPr/>
        <w:t>Lpro-form25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326" TargetMode="External"/><Relationship Id="rId3" Type="http://schemas.openxmlformats.org/officeDocument/2006/relationships/hyperlink" Target="http://www.sec.gov/cgi-bin/browse-edgar?action=getcompany&amp;CIK=0001806201"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322</Words>
  <Characters>1776</Characters>
  <CharactersWithSpaces>2059</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