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20221.xml.htm"/>
      <w:bookmarkStart w:id="1" w:name="kswkform4_17854202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Hart Todd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OPEN LENDING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1501 S. MOPAC EXPRESSWAY,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 Lending Corp</w:t>
              </w:r>
            </w:hyperlink>
            <w:r>
              <w:rPr/>
              <w:t xml:space="preserve"> [ </w:t>
            </w:r>
            <w:r>
              <w:rPr>
                <w:rFonts w:ascii="Times;serif" w:hAnsi="Times;serif"/>
                <w:color w:val="0000FF"/>
                <w:sz w:val="24"/>
                <w:shd w:fill="FFFFFF" w:val="clear"/>
              </w:rPr>
              <w:t>LPRO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tendered the shares of common stock in exchange for $3.15 per share in cash in the tender offer (the "Offer") made pursuant to the Agreement and Plan of Merger, dated as of June 15, 2026 (the "Merger Agreement"), among the Issuer, ANV Group Holdings Ltd. and Lakers Acquisition Sub, Inc.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 Massey,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9251" TargetMode="External"/><Relationship Id="rId5" Type="http://schemas.openxmlformats.org/officeDocument/2006/relationships/hyperlink" Target="http://www.sec.gov/cgi-bin/browse-edgar?action=getcompany&amp;CIK=00018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3361</Characters>
  <CharactersWithSpaces>3920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