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For the quarterly period ended June 30, 2025</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For the transition period from ______________ to ______________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Commission File Number: 001-39326</w:t>
      </w:r>
    </w:p>
    <w:p>
      <w:pPr>
        <w:pStyle w:val="TextBody"/>
        <w:bidi w:val="0"/>
        <w:spacing w:before="200" w:after="283"/>
        <w:jc w:val="center"/>
        <w:rPr/>
      </w:pPr>
      <w:r>
        <w:rPr/>
        <w:drawing>
          <wp:inline distT="0" distB="0" distL="0" distR="0">
            <wp:extent cx="2381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37147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000000"/>
          <w:sz w:val="48"/>
        </w:rPr>
      </w:pPr>
      <w:r>
        <w:rPr>
          <w:rFonts w:ascii="Arial;sans-serif" w:hAnsi="Arial;sans-serif"/>
          <w:b/>
          <w:color w:val="000000"/>
          <w:sz w:val="48"/>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before="120" w:after="283"/>
        <w:jc w:val="center"/>
        <w:rPr/>
      </w:pPr>
      <w:r>
        <w:rPr/>
      </w:r>
    </w:p>
    <w:tbl>
      <w:tblPr>
        <w:tblW w:w="4799" w:type="dxa"/>
        <w:jc w:val="left"/>
        <w:tblInd w:w="0" w:type="dxa"/>
        <w:tblLayout w:type="fixed"/>
        <w:tblCellMar>
          <w:top w:w="28" w:type="dxa"/>
          <w:left w:w="28" w:type="dxa"/>
          <w:bottom w:w="28" w:type="dxa"/>
          <w:right w:w="28" w:type="dxa"/>
        </w:tblCellMar>
      </w:tblPr>
      <w:tblGrid>
        <w:gridCol w:w="1166"/>
        <w:gridCol w:w="1025"/>
        <w:gridCol w:w="1034"/>
        <w:gridCol w:w="460"/>
        <w:gridCol w:w="460"/>
        <w:gridCol w:w="6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84-5031428</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1501 S. MoPac Expressway</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Suite 450</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Austin, Texas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78746</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Registrant’s telephone number, including area code: (512) 892-0400</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482" w:type="dxa"/>
        <w:jc w:val="left"/>
        <w:tblInd w:w="0" w:type="dxa"/>
        <w:tblLayout w:type="fixed"/>
        <w:tblCellMar>
          <w:top w:w="28" w:type="dxa"/>
          <w:left w:w="28" w:type="dxa"/>
          <w:bottom w:w="28" w:type="dxa"/>
          <w:right w:w="28" w:type="dxa"/>
        </w:tblCellMar>
      </w:tblPr>
      <w:tblGrid>
        <w:gridCol w:w="1436"/>
        <w:gridCol w:w="1261"/>
        <w:gridCol w:w="1277"/>
        <w:gridCol w:w="109"/>
        <w:gridCol w:w="109"/>
        <w:gridCol w:w="109"/>
        <w:gridCol w:w="304"/>
        <w:gridCol w:w="304"/>
        <w:gridCol w:w="306"/>
        <w:gridCol w:w="109"/>
        <w:gridCol w:w="109"/>
        <w:gridCol w:w="109"/>
        <w:gridCol w:w="861"/>
        <w:gridCol w:w="861"/>
        <w:gridCol w:w="1218"/>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Yes  ☐    No  ☒</w:t>
      </w:r>
    </w:p>
    <w:p>
      <w:pPr>
        <w:pStyle w:val="TextBody"/>
        <w:bidi w:val="0"/>
        <w:spacing w:lineRule="auto" w:line="288" w:before="200" w:after="283"/>
        <w:ind w:left="0" w:right="0" w:firstLine="540"/>
        <w:jc w:val="both"/>
        <w:rPr/>
      </w:pPr>
      <w:r>
        <w:rPr>
          <w:rFonts w:ascii="Arial;sans-serif" w:hAnsi="Arial;sans-serif"/>
          <w:b w:val="false"/>
          <w:color w:val="000000"/>
          <w:sz w:val="20"/>
        </w:rPr>
        <w:t xml:space="preserve">As of August 5, 2025, the registrant </w:t>
      </w:r>
      <w:r>
        <w:rPr>
          <w:rFonts w:ascii="Arial;sans-serif" w:hAnsi="Arial;sans-serif"/>
          <w:b w:val="false"/>
          <w:color w:val="000000"/>
          <w:sz w:val="20"/>
          <w:shd w:fill="FFFFFF" w:val="clear"/>
        </w:rPr>
        <w:t>had</w:t>
      </w:r>
      <w:r>
        <w:rPr>
          <w:color w:val="000000"/>
        </w:rPr>
        <w:t xml:space="preserve"> </w:t>
      </w:r>
      <w:r>
        <w:rPr>
          <w:rFonts w:ascii="Arial;sans-serif" w:hAnsi="Arial;sans-serif"/>
          <w:b w:val="false"/>
          <w:color w:val="000000"/>
          <w:sz w:val="20"/>
        </w:rPr>
        <w:t>118,172,477</w:t>
      </w:r>
      <w:r>
        <w:rPr>
          <w:color w:val="000000"/>
          <w:shd w:fill="FFFFFF" w:val="clear"/>
        </w:rPr>
        <w:t xml:space="preserve"> </w:t>
      </w:r>
      <w:r>
        <w:rPr>
          <w:rFonts w:ascii="Arial;sans-serif" w:hAnsi="Arial;sans-serif"/>
          <w:b w:val="false"/>
          <w:color w:val="000000"/>
          <w:sz w:val="20"/>
          <w:shd w:fill="FFFFFF" w:val="clear"/>
        </w:rPr>
        <w:t>sh</w:t>
      </w:r>
      <w:r>
        <w:rPr>
          <w:rFonts w:ascii="Arial;sans-serif" w:hAnsi="Arial;sans-serif"/>
          <w:b w:val="false"/>
          <w:color w:val="000000"/>
          <w:sz w:val="20"/>
        </w:rPr>
        <w:t>ares of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both"/>
                        <w:rPr/>
                      </w:pPr>
                      <w:r>
                        <w:rPr/>
                      </w:r>
                    </w:p>
                  </w:txbxContent>
                </v:textbox>
                <w10:wrap type="none"/>
              </v:rect>
            </w:pict>
          </mc:Fallback>
        </mc:AlternateContent>
      </w:r>
    </w:p>
    <w:p>
      <w:pPr>
        <w:pStyle w:val="TextBody"/>
        <w:bidi w:val="0"/>
        <w:spacing w:before="60" w:after="283"/>
        <w:jc w:val="both"/>
        <w:rPr/>
      </w:pPr>
      <w:r>
        <w:rPr/>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TABLE OF CONTENTS</w:t>
      </w:r>
    </w:p>
    <w:tbl>
      <w:tblPr>
        <w:tblW w:w="9766" w:type="dxa"/>
        <w:jc w:val="left"/>
        <w:tblInd w:w="0" w:type="dxa"/>
        <w:tblLayout w:type="fixed"/>
        <w:tblCellMar>
          <w:top w:w="28" w:type="dxa"/>
          <w:left w:w="28" w:type="dxa"/>
          <w:bottom w:w="28" w:type="dxa"/>
          <w:right w:w="28" w:type="dxa"/>
        </w:tblCellMar>
      </w:tblPr>
      <w:tblGrid>
        <w:gridCol w:w="505"/>
        <w:gridCol w:w="443"/>
        <w:gridCol w:w="448"/>
        <w:gridCol w:w="2612"/>
        <w:gridCol w:w="2612"/>
        <w:gridCol w:w="2620"/>
        <w:gridCol w:w="154"/>
        <w:gridCol w:w="154"/>
        <w:gridCol w:w="218"/>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Page</w:t>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0">
              <w:r>
                <w:rPr>
                  <w:rStyle w:val="InternetLink"/>
                  <w:rFonts w:ascii="Arial;sans-serif" w:hAnsi="Arial;sans-serif"/>
                  <w:b/>
                  <w:strike w:val="false"/>
                  <w:dstrike w:val="false"/>
                  <w:color w:val="000000"/>
                  <w:sz w:val="20"/>
                  <w:u w:val="none"/>
                  <w:effect w:val="none"/>
                </w:rPr>
                <w:t>PART I.</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0">
              <w:r>
                <w:rPr>
                  <w:rStyle w:val="InternetLink"/>
                  <w:rFonts w:ascii="Arial;sans-serif" w:hAnsi="Arial;sans-serif"/>
                  <w:b w:val="false"/>
                  <w:color w:val="0000FF"/>
                  <w:sz w:val="20"/>
                  <w:u w:val="single"/>
                </w:rPr>
                <w:t>Financial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3">
              <w:r>
                <w:rPr>
                  <w:rStyle w:val="InternetLink"/>
                  <w:rFonts w:ascii="Arial;sans-serif" w:hAnsi="Arial;sans-serif"/>
                  <w:b w:val="false"/>
                  <w:strike w:val="false"/>
                  <w:dstrike w:val="false"/>
                  <w:color w:val="000000"/>
                  <w:sz w:val="20"/>
                  <w:u w:val="none"/>
                  <w:effect w:val="none"/>
                </w:rPr>
                <w:t>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3">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3">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3">
              <w:r>
                <w:rPr>
                  <w:rStyle w:val="InternetLink"/>
                  <w:rFonts w:ascii="Arial;sans-serif" w:hAnsi="Arial;sans-serif"/>
                  <w:b w:val="false"/>
                  <w:strike w:val="false"/>
                  <w:dstrike w:val="false"/>
                  <w:color w:val="000000"/>
                  <w:sz w:val="20"/>
                  <w:u w:val="none"/>
                  <w:effect w:val="none"/>
                </w:rPr>
                <w:t>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6">
              <w:r>
                <w:rPr>
                  <w:rStyle w:val="InternetLink"/>
                  <w:rFonts w:ascii="Arial;sans-serif" w:hAnsi="Arial;sans-serif"/>
                  <w:b w:val="false"/>
                  <w:color w:val="0000FF"/>
                  <w:sz w:val="20"/>
                  <w:u w:val="single"/>
                </w:rPr>
                <w:t>Condensed Consolidated Balance Sheets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6">
              <w:r>
                <w:rPr>
                  <w:rStyle w:val="InternetLink"/>
                  <w:rFonts w:ascii="Arial;sans-serif" w:hAnsi="Arial;sans-serif"/>
                  <w:b w:val="false"/>
                  <w:strike w:val="false"/>
                  <w:dstrike w:val="false"/>
                  <w:color w:val="000000"/>
                  <w:sz w:val="20"/>
                  <w:u w:val="none"/>
                  <w:effect w:val="none"/>
                </w:rPr>
                <w:t>3</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22">
              <w:r>
                <w:rPr>
                  <w:rStyle w:val="InternetLink"/>
                  <w:rFonts w:ascii="Arial;sans-serif" w:hAnsi="Arial;sans-serif"/>
                  <w:b w:val="false"/>
                  <w:color w:val="0000FF"/>
                  <w:sz w:val="20"/>
                  <w:u w:val="single"/>
                </w:rPr>
                <w:t>Condensed Consolidated Statements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22">
              <w:r>
                <w:rPr>
                  <w:rStyle w:val="InternetLink"/>
                  <w:rFonts w:ascii="Arial;sans-serif" w:hAnsi="Arial;sans-serif"/>
                  <w:b w:val="false"/>
                  <w:strike w:val="false"/>
                  <w:dstrike w:val="false"/>
                  <w:color w:val="000000"/>
                  <w:sz w:val="20"/>
                  <w:u w:val="none"/>
                  <w:effect w:val="none"/>
                </w:rPr>
                <w:t>4</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25">
              <w:r>
                <w:rPr>
                  <w:rStyle w:val="InternetLink"/>
                  <w:rFonts w:ascii="Arial;sans-serif" w:hAnsi="Arial;sans-serif"/>
                  <w:b w:val="false"/>
                  <w:color w:val="0000FF"/>
                  <w:sz w:val="20"/>
                  <w:u w:val="single"/>
                </w:rPr>
                <w:t>Condensed Consolidated Statements of Changes in Stockholders’ Equity</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25">
              <w:r>
                <w:rPr>
                  <w:rStyle w:val="InternetLink"/>
                  <w:rFonts w:ascii="Arial;sans-serif" w:hAnsi="Arial;sans-serif"/>
                  <w:b w:val="false"/>
                  <w:strike w:val="false"/>
                  <w:dstrike w:val="false"/>
                  <w:color w:val="000000"/>
                  <w:sz w:val="20"/>
                  <w:u w:val="none"/>
                  <w:effect w:val="non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28">
              <w:r>
                <w:rPr>
                  <w:rStyle w:val="InternetLink"/>
                  <w:rFonts w:ascii="Arial;sans-serif" w:hAnsi="Arial;sans-serif"/>
                  <w:b w:val="false"/>
                  <w:color w:val="0000FF"/>
                  <w:sz w:val="20"/>
                  <w:u w:val="single"/>
                </w:rPr>
                <w:t>Condensed Consolidated Statements of Cash Flows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28">
              <w:r>
                <w:rPr>
                  <w:rStyle w:val="InternetLink"/>
                  <w:rFonts w:ascii="Arial;sans-serif" w:hAnsi="Arial;sans-serif"/>
                  <w:b w:val="false"/>
                  <w:strike w:val="false"/>
                  <w:dstrike w:val="false"/>
                  <w:color w:val="000000"/>
                  <w:sz w:val="20"/>
                  <w:u w:val="none"/>
                  <w:effect w:val="none"/>
                </w:rPr>
                <w:t>6</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31">
              <w:r>
                <w:rPr>
                  <w:rStyle w:val="InternetLink"/>
                  <w:rFonts w:ascii="Arial;sans-serif" w:hAnsi="Arial;sans-serif"/>
                  <w:b w:val="false"/>
                  <w:color w:val="0000FF"/>
                  <w:sz w:val="20"/>
                  <w:u w:val="single"/>
                </w:rPr>
                <w:t>Notes to 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31">
              <w:r>
                <w:rPr>
                  <w:rStyle w:val="InternetLink"/>
                  <w:rFonts w:ascii="Arial;sans-serif" w:hAnsi="Arial;sans-serif"/>
                  <w:b w:val="false"/>
                  <w:strike w:val="false"/>
                  <w:dstrike w:val="false"/>
                  <w:color w:val="000000"/>
                  <w:sz w:val="20"/>
                  <w:u w:val="none"/>
                  <w:effect w:val="none"/>
                </w:rPr>
                <w:t>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85">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85">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85">
              <w:r>
                <w:rPr>
                  <w:rStyle w:val="InternetLink"/>
                  <w:rFonts w:ascii="Arial;sans-serif" w:hAnsi="Arial;sans-serif"/>
                  <w:b w:val="false"/>
                  <w:strike w:val="false"/>
                  <w:dstrike w:val="false"/>
                  <w:color w:val="000000"/>
                  <w:sz w:val="20"/>
                  <w:u w:val="none"/>
                  <w:effect w:val="none"/>
                </w:rPr>
                <w:t>17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39">
              <w:r>
                <w:rPr>
                  <w:rStyle w:val="InternetLink"/>
                  <w:rFonts w:ascii="Arial;sans-serif" w:hAnsi="Arial;sans-serif"/>
                  <w:b w:val="false"/>
                  <w:strike w:val="false"/>
                  <w:dstrike w:val="false"/>
                  <w:color w:val="000000"/>
                  <w:sz w:val="20"/>
                  <w:u w:val="none"/>
                  <w:effect w:val="non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39">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39">
              <w:r>
                <w:rPr>
                  <w:rStyle w:val="InternetLink"/>
                  <w:rFonts w:ascii="Arial;sans-serif" w:hAnsi="Arial;sans-serif"/>
                  <w:b w:val="false"/>
                  <w:strike w:val="false"/>
                  <w:dstrike w:val="false"/>
                  <w:color w:val="000000"/>
                  <w:sz w:val="20"/>
                  <w:u w:val="none"/>
                  <w:effect w:val="none"/>
                </w:rPr>
                <w:t>30</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42">
              <w:r>
                <w:rPr>
                  <w:rStyle w:val="InternetLink"/>
                  <w:rFonts w:ascii="Arial;sans-serif" w:hAnsi="Arial;sans-serif"/>
                  <w:b w:val="false"/>
                  <w:strike w:val="false"/>
                  <w:dstrike w:val="false"/>
                  <w:color w:val="000000"/>
                  <w:sz w:val="20"/>
                  <w:u w:val="none"/>
                  <w:effect w:val="non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42">
              <w:r>
                <w:rPr>
                  <w:rStyle w:val="InternetLink"/>
                  <w:rFonts w:ascii="Arial;sans-serif" w:hAnsi="Arial;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42">
              <w:r>
                <w:rPr>
                  <w:rStyle w:val="InternetLink"/>
                  <w:rFonts w:ascii="Arial;sans-serif" w:hAnsi="Arial;sans-serif"/>
                  <w:b w:val="false"/>
                  <w:strike w:val="false"/>
                  <w:dstrike w:val="false"/>
                  <w:color w:val="000000"/>
                  <w:sz w:val="20"/>
                  <w:u w:val="none"/>
                  <w:effect w:val="none"/>
                </w:rPr>
                <w:t>31</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45">
              <w:r>
                <w:rPr>
                  <w:rStyle w:val="InternetLink"/>
                  <w:rFonts w:ascii="Arial;sans-serif" w:hAnsi="Arial;sans-serif"/>
                  <w:b/>
                  <w:strike w:val="false"/>
                  <w:dstrike w:val="false"/>
                  <w:color w:val="000000"/>
                  <w:sz w:val="20"/>
                  <w:u w:val="none"/>
                  <w:effect w:val="none"/>
                </w:rPr>
                <w:t>PART II.</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45">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45">
              <w:r>
                <w:rPr>
                  <w:rStyle w:val="InternetLink"/>
                  <w:rFonts w:ascii="Arial;sans-serif" w:hAnsi="Arial;sans-serif"/>
                  <w:b w:val="false"/>
                  <w:strike w:val="false"/>
                  <w:dstrike w:val="false"/>
                  <w:color w:val="000000"/>
                  <w:sz w:val="20"/>
                  <w:u w:val="none"/>
                  <w:effect w:val="none"/>
                </w:rPr>
                <w:t>32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48">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48">
              <w:r>
                <w:rPr>
                  <w:rStyle w:val="InternetLink"/>
                  <w:rFonts w:ascii="Arial;sans-serif" w:hAnsi="Arial;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48">
              <w:r>
                <w:rPr>
                  <w:rStyle w:val="InternetLink"/>
                  <w:rFonts w:ascii="Arial;sans-serif" w:hAnsi="Arial;sans-serif"/>
                  <w:b w:val="false"/>
                  <w:strike w:val="false"/>
                  <w:dstrike w:val="false"/>
                  <w:color w:val="000000"/>
                  <w:sz w:val="20"/>
                  <w:u w:val="none"/>
                  <w:effect w:val="none"/>
                </w:rPr>
                <w:t>32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51">
              <w:r>
                <w:rPr>
                  <w:rStyle w:val="InternetLink"/>
                  <w:rFonts w:ascii="Arial;sans-serif" w:hAnsi="Arial;sans-serif"/>
                  <w:b w:val="false"/>
                  <w:strike w:val="false"/>
                  <w:dstrike w:val="false"/>
                  <w:color w:val="000000"/>
                  <w:sz w:val="20"/>
                  <w:u w:val="none"/>
                  <w:effect w:val="non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51">
              <w:r>
                <w:rPr>
                  <w:rStyle w:val="InternetLink"/>
                  <w:rFonts w:ascii="Arial;sans-serif" w:hAnsi="Arial;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51">
              <w:r>
                <w:rPr>
                  <w:rStyle w:val="InternetLink"/>
                  <w:rFonts w:ascii="Arial;sans-serif" w:hAnsi="Arial;sans-serif"/>
                  <w:b w:val="false"/>
                  <w:strike w:val="false"/>
                  <w:dstrike w:val="false"/>
                  <w:color w:val="000000"/>
                  <w:sz w:val="20"/>
                  <w:u w:val="none"/>
                  <w:effect w:val="none"/>
                </w:rPr>
                <w:t>32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54">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54">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54">
              <w:r>
                <w:rPr>
                  <w:rStyle w:val="InternetLink"/>
                  <w:rFonts w:ascii="Arial;sans-serif" w:hAnsi="Arial;sans-serif"/>
                  <w:b w:val="false"/>
                  <w:strike w:val="false"/>
                  <w:dstrike w:val="false"/>
                  <w:color w:val="000000"/>
                  <w:sz w:val="20"/>
                  <w:u w:val="none"/>
                  <w:effect w:val="none"/>
                </w:rPr>
                <w:t>33</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57">
              <w:r>
                <w:rPr>
                  <w:rStyle w:val="InternetLink"/>
                  <w:rFonts w:ascii="Arial;sans-serif" w:hAnsi="Arial;sans-serif"/>
                  <w:b w:val="false"/>
                  <w:strike w:val="false"/>
                  <w:dstrike w:val="false"/>
                  <w:color w:val="000000"/>
                  <w:sz w:val="20"/>
                  <w:u w:val="none"/>
                  <w:effect w:val="non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57">
              <w:r>
                <w:rPr>
                  <w:rStyle w:val="InternetLink"/>
                  <w:rFonts w:ascii="Arial;sans-serif" w:hAnsi="Arial;sans-serif"/>
                  <w:b w:val="false"/>
                  <w:color w:val="0000FF"/>
                  <w:sz w:val="20"/>
                  <w:u w:val="single"/>
                </w:rPr>
                <w:t>Defaults Upon Senior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57">
              <w:r>
                <w:rPr>
                  <w:rStyle w:val="InternetLink"/>
                  <w:rFonts w:ascii="Arial;sans-serif" w:hAnsi="Arial;sans-serif"/>
                  <w:b w:val="false"/>
                  <w:strike w:val="false"/>
                  <w:dstrike w:val="false"/>
                  <w:color w:val="000000"/>
                  <w:sz w:val="20"/>
                  <w:u w:val="none"/>
                  <w:effect w:val="none"/>
                </w:rPr>
                <w:t>33</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60">
              <w:r>
                <w:rPr>
                  <w:rStyle w:val="InternetLink"/>
                  <w:rFonts w:ascii="Arial;sans-serif" w:hAnsi="Arial;sans-serif"/>
                  <w:b w:val="false"/>
                  <w:strike w:val="false"/>
                  <w:dstrike w:val="false"/>
                  <w:color w:val="000000"/>
                  <w:sz w:val="20"/>
                  <w:u w:val="none"/>
                  <w:effect w:val="non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60">
              <w:r>
                <w:rPr>
                  <w:rStyle w:val="InternetLink"/>
                  <w:rFonts w:ascii="Arial;sans-serif" w:hAnsi="Arial;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60">
              <w:r>
                <w:rPr>
                  <w:rStyle w:val="InternetLink"/>
                  <w:rFonts w:ascii="Arial;sans-serif" w:hAnsi="Arial;sans-serif"/>
                  <w:b w:val="false"/>
                  <w:strike w:val="false"/>
                  <w:dstrike w:val="false"/>
                  <w:color w:val="000000"/>
                  <w:sz w:val="20"/>
                  <w:u w:val="none"/>
                  <w:effect w:val="none"/>
                </w:rPr>
                <w:t>33</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63">
              <w:r>
                <w:rPr>
                  <w:rStyle w:val="InternetLink"/>
                  <w:rFonts w:ascii="Arial;sans-serif" w:hAnsi="Arial;sans-serif"/>
                  <w:b w:val="false"/>
                  <w:strike w:val="false"/>
                  <w:dstrike w:val="false"/>
                  <w:color w:val="000000"/>
                  <w:sz w:val="20"/>
                  <w:u w:val="none"/>
                  <w:effect w:val="none"/>
                </w:rPr>
                <w:t>Item 5.</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63">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63">
              <w:r>
                <w:rPr>
                  <w:rStyle w:val="InternetLink"/>
                  <w:rFonts w:ascii="Arial;sans-serif" w:hAnsi="Arial;sans-serif"/>
                  <w:b w:val="false"/>
                  <w:strike w:val="false"/>
                  <w:dstrike w:val="false"/>
                  <w:color w:val="000000"/>
                  <w:sz w:val="20"/>
                  <w:u w:val="none"/>
                  <w:effect w:val="none"/>
                </w:rPr>
                <w:t>34</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66">
              <w:r>
                <w:rPr>
                  <w:rStyle w:val="InternetLink"/>
                  <w:rFonts w:ascii="Arial;sans-serif" w:hAnsi="Arial;sans-serif"/>
                  <w:b w:val="false"/>
                  <w:strike w:val="false"/>
                  <w:dstrike w:val="false"/>
                  <w:color w:val="000000"/>
                  <w:sz w:val="20"/>
                  <w:u w:val="none"/>
                  <w:effect w:val="non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66">
              <w:r>
                <w:rPr>
                  <w:rStyle w:val="InternetLink"/>
                  <w:rFonts w:ascii="Arial;sans-serif" w:hAnsi="Arial;sans-serif"/>
                  <w:b w:val="false"/>
                  <w:color w:val="0000FF"/>
                  <w:sz w:val="20"/>
                  <w:u w:val="single"/>
                </w:rPr>
                <w:t>Exhibits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66">
              <w:r>
                <w:rPr>
                  <w:rStyle w:val="InternetLink"/>
                  <w:rFonts w:ascii="Arial;sans-serif" w:hAnsi="Arial;sans-serif"/>
                  <w:b w:val="false"/>
                  <w:strike w:val="false"/>
                  <w:dstrike w:val="false"/>
                  <w:color w:val="000000"/>
                  <w:sz w:val="20"/>
                  <w:u w:val="none"/>
                  <w:effect w:val="none"/>
                </w:rPr>
                <w:t>35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3febd1cf3c450d99ad684e4a3c44a3_169">
              <w:r>
                <w:rPr>
                  <w:rStyle w:val="InternetLink"/>
                  <w:rFonts w:ascii="Arial;sans-serif" w:hAnsi="Arial;sans-serif"/>
                  <w:b w:val="false"/>
                  <w:color w:val="0000FF"/>
                  <w:sz w:val="20"/>
                  <w:u w:val="single"/>
                </w:rPr>
                <w:t>SIGNATURES</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3febd1cf3c450d99ad684e4a3c44a3_169">
              <w:r>
                <w:rPr>
                  <w:rStyle w:val="InternetLink"/>
                  <w:rFonts w:ascii="Arial;sans-serif" w:hAnsi="Arial;sans-serif"/>
                  <w:b w:val="false"/>
                  <w:strike w:val="false"/>
                  <w:dstrike w:val="false"/>
                  <w:color w:val="000000"/>
                  <w:sz w:val="20"/>
                  <w:u w:val="none"/>
                  <w:effect w:val="none"/>
                </w:rPr>
                <w:t>36</w:t>
              </w:r>
            </w:hyperlink>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both"/>
                        <w:rPr/>
                      </w:pPr>
                      <w:r>
                        <w:rPr/>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150"/>
                <wp:effectExtent l="0" t="0" r="0" b="0"/>
                <wp:wrapNone/>
                <wp:docPr id="4" name="Frame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06"/>
        <w:gridCol w:w="2266"/>
        <w:gridCol w:w="2251"/>
        <w:gridCol w:w="211"/>
        <w:gridCol w:w="856"/>
        <w:gridCol w:w="109"/>
        <w:gridCol w:w="109"/>
        <w:gridCol w:w="109"/>
        <w:gridCol w:w="109"/>
        <w:gridCol w:w="220"/>
        <w:gridCol w:w="896"/>
        <w:gridCol w:w="163"/>
      </w:tblGrid>
      <w:tr>
        <w:trPr/>
        <w:tc>
          <w:tcPr>
            <w:tcW w:w="290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243,164 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contract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267,102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275,725</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296,661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296,368</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excess profit share receipts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47,141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47,252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debt, net of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132,217 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217,714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218,281</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$0.01 par value; 10,000,000 shares authorized, none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Common stock, $0.01 par value; 550,000,000 shares authorized, 128,198,185 shares issued and 118,172,477 shares outstanding as of June 30, 2025 and 128,198,185 shares issued and 119,350,001 shares outstanding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502,664 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(328,759)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Treasury stock at cost, 10,025,708 shares at June 30, 2025 and 8,848,184 shares at December 31,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78,947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78,087</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296,661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296,368</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150"/>
                <wp:effectExtent l="0" t="0" r="0" b="0"/>
                <wp:wrapNone/>
                <wp:docPr id="5" name="Frame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1553"/>
        <w:gridCol w:w="1361"/>
        <w:gridCol w:w="1374"/>
        <w:gridCol w:w="248"/>
        <w:gridCol w:w="884"/>
        <w:gridCol w:w="127"/>
        <w:gridCol w:w="127"/>
        <w:gridCol w:w="127"/>
        <w:gridCol w:w="127"/>
        <w:gridCol w:w="248"/>
        <w:gridCol w:w="884"/>
        <w:gridCol w:w="127"/>
        <w:gridCol w:w="109"/>
        <w:gridCol w:w="109"/>
        <w:gridCol w:w="109"/>
        <w:gridCol w:w="225"/>
        <w:gridCol w:w="802"/>
        <w:gridCol w:w="116"/>
        <w:gridCol w:w="116"/>
        <w:gridCol w:w="116"/>
        <w:gridCol w:w="116"/>
        <w:gridCol w:w="225"/>
        <w:gridCol w:w="802"/>
        <w:gridCol w:w="173"/>
      </w:tblGrid>
      <w:tr>
        <w:trPr/>
        <w:tc>
          <w:tcPr>
            <w:tcW w:w="155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25,310</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26,727</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49,703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57,472</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 of services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19,801</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21,014</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38,110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46,009</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18,625</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17,024</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36,172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34,696</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1,176</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3,990</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1,938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11,313</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1,114</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4,340</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1,787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11,864</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1,034</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2,902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7,989</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per common share</w:t>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119,157 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119,066 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119,003 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119,331 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119,388 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150"/>
                <wp:effectExtent l="0" t="0" r="0" b="0"/>
                <wp:wrapNone/>
                <wp:docPr id="6" name="Frame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Changes in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60" w:after="283"/>
        <w:jc w:val="center"/>
        <w:rPr/>
      </w:pPr>
      <w:r>
        <w:rPr/>
      </w:r>
    </w:p>
    <w:tbl>
      <w:tblPr>
        <w:tblW w:w="11794" w:type="dxa"/>
        <w:jc w:val="left"/>
        <w:tblInd w:w="0" w:type="dxa"/>
        <w:tblLayout w:type="fixed"/>
        <w:tblCellMar>
          <w:top w:w="28" w:type="dxa"/>
          <w:left w:w="28" w:type="dxa"/>
          <w:bottom w:w="28" w:type="dxa"/>
          <w:right w:w="28" w:type="dxa"/>
        </w:tblCellMar>
      </w:tblPr>
      <w:tblGrid>
        <w:gridCol w:w="666"/>
        <w:gridCol w:w="334"/>
        <w:gridCol w:w="336"/>
        <w:gridCol w:w="109"/>
        <w:gridCol w:w="109"/>
        <w:gridCol w:w="109"/>
        <w:gridCol w:w="428"/>
        <w:gridCol w:w="428"/>
        <w:gridCol w:w="241"/>
        <w:gridCol w:w="109"/>
        <w:gridCol w:w="109"/>
        <w:gridCol w:w="109"/>
        <w:gridCol w:w="211"/>
        <w:gridCol w:w="646"/>
        <w:gridCol w:w="109"/>
        <w:gridCol w:w="109"/>
        <w:gridCol w:w="109"/>
        <w:gridCol w:w="109"/>
        <w:gridCol w:w="211"/>
        <w:gridCol w:w="856"/>
        <w:gridCol w:w="109"/>
        <w:gridCol w:w="109"/>
        <w:gridCol w:w="109"/>
        <w:gridCol w:w="109"/>
        <w:gridCol w:w="237"/>
        <w:gridCol w:w="961"/>
        <w:gridCol w:w="123"/>
        <w:gridCol w:w="109"/>
        <w:gridCol w:w="109"/>
        <w:gridCol w:w="109"/>
        <w:gridCol w:w="375"/>
        <w:gridCol w:w="376"/>
        <w:gridCol w:w="241"/>
        <w:gridCol w:w="109"/>
        <w:gridCol w:w="109"/>
        <w:gridCol w:w="109"/>
        <w:gridCol w:w="211"/>
        <w:gridCol w:w="856"/>
        <w:gridCol w:w="109"/>
        <w:gridCol w:w="109"/>
        <w:gridCol w:w="109"/>
        <w:gridCol w:w="109"/>
        <w:gridCol w:w="249"/>
        <w:gridCol w:w="1010"/>
        <w:gridCol w:w="182"/>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Additional</w:t>
              <w:br/>
              <w:t> 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 Stockholders’</w:t>
              <w:br/>
              <w:t>Equity</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502,664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(328,759)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(8,848)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(97,100)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78,087</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497,884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(328,142)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(8,415)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(91,195)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79,829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repurchased, including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495,415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(327,108)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(10,026)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(90,642)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78,947</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458" w:type="dxa"/>
            <w:gridSpan w:val="42"/>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458" w:type="dxa"/>
            <w:gridSpan w:val="42"/>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458" w:type="dxa"/>
            <w:gridSpan w:val="42"/>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458" w:type="dxa"/>
            <w:gridSpan w:val="42"/>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1" w:type="dxa"/>
            <w:gridSpan w:val="12"/>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502,032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(193,749)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(103,985)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205,580</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498,617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(188,662)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(9,047)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(99,699)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211,538</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499,732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(185,760)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(8,947)</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(98,471)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216,783</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150"/>
                <wp:effectExtent l="0" t="0" r="0" b="0"/>
                <wp:wrapNone/>
                <wp:docPr id="7" name="Frame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26"/>
        <w:gridCol w:w="2369"/>
        <w:gridCol w:w="2384"/>
        <w:gridCol w:w="211"/>
        <w:gridCol w:w="856"/>
        <w:gridCol w:w="109"/>
        <w:gridCol w:w="109"/>
        <w:gridCol w:w="109"/>
        <w:gridCol w:w="109"/>
        <w:gridCol w:w="211"/>
        <w:gridCol w:w="856"/>
        <w:gridCol w:w="156"/>
      </w:tblGrid>
      <w:tr>
        <w:trPr/>
        <w:tc>
          <w:tcPr>
            <w:tcW w:w="2726"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operating assets &amp;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Contract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provided by (used in)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9,599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on term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repurchased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withheld for taxes related to restricted stock units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(2,075)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the beginning of the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and cash equivalents and restricted cash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241,337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252,465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paid (refunded),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150"/>
                <wp:effectExtent l="0" t="0" r="0" b="0"/>
                <wp:wrapNone/>
                <wp:docPr id="8" name="Frame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1—Description of Business, Background and Nature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Open Lending Corporation and its subsidiaries (“Company,” “we,” “us” and “our”),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its existing business flow. We also operate as a third-party administrator that adjudicates insurance claims and premium adjustments on automotive loans.</w:t>
      </w:r>
    </w:p>
    <w:p>
      <w:pPr>
        <w:pStyle w:val="TextBody"/>
        <w:bidi w:val="0"/>
        <w:spacing w:lineRule="auto" w:line="288" w:before="120" w:after="283"/>
        <w:jc w:val="both"/>
        <w:rPr/>
      </w:pPr>
      <w:r>
        <w:rPr>
          <w:rFonts w:ascii="Arial;sans-serif" w:hAnsi="Arial;sans-serif"/>
          <w:b w:val="false"/>
          <w:color w:val="000000"/>
          <w:sz w:val="20"/>
        </w:rPr>
        <w:t>Our flagship product, Lenders Protection</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platform (“LPP”), is a cloud-based automotive lending enablement platform. LPP supports loans made to near-prime and non-prime borrowers and is designed to underwrite default insurance by linking automotive lenders to our insurance partners. The platform uses risk-based pricing models that enable automotive lenders to assess the credit risk of a potential borrower using data driven analysis. Our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of our operations and assets are in the U.S., and all of our revenues are attributable to U.S.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2—Summary of Significant Accounting and Reporting Policies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U.S. Generally Accepted Accounting Principles (“GAAP”) and include the accounts of Open Lending Corporation and all its subsidiaries. All intercompany transactions and balances have been eliminated upon 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Certain information and footnote disclosures normally included in annual financial statements prepared in accordance with GAAP have been omitted from these unaudited condensed consolidated financial statements, as permitted by Securities and Exchange Commission (“SEC”) rules and regulations. We believe the disclosures made in these unaudited condensed consolidated financial statements are adequate to make the information herein not misleading. These unaudited interim condensed consolidated financial statements should be read in conjunction with the audited consolidated financial statements and related notes thereto included in our Annual Report on Form 10-K for the year ended December 31,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interim data includes all normal adjustments that are, in our opinion, necessary for a fair statement of the results for the interim periods presented. The results of operations for the three and six months ended June 30, 2025 are not necessarily indicative of our operating results for the entire fiscal year ending December 31, 2025.</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Use of Estimates and Judgments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unaudited condensed consolidated financial statements in conformity with GAAP requires management to make estimates and assumptions that affect the reported amounts in the unaudited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most significant items subject to such estimates and assumptions include, but are not limited to, profit share revenue recognition and the corresponding impact on contract assets and the excess profit share receipts liability and assessing the realizability of deferred tax assets. Our estimates are based on historical trends and relevant assumptions that we believe to be reasonable under the circumstances. Accordingly, actual results could be materially different from those estimates.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Profit Share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Profit share represents our participation in the net underwriting profit of third-party insurance partners who provide automotive lenders with credit default insurance on loans those lenders make using LPP. We receive a percentage of the aggregate net monthly insurance underwriting profit over the term of the underlying insured loan. Monthly insurance underwriting profit is calculated as the monthly earned premium less expenses and losses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6055"/>
                <wp:effectExtent l="0" t="0" r="0" b="0"/>
                <wp:wrapNone/>
                <wp:docPr id="9" name="Frame8"/>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Proxima Nova;sans-serif" w:hAnsi="Proxima Nova;sans-serif"/>
                                <w:b w:val="false"/>
                                <w:color w:val="000000"/>
                                <w:sz w:val="20"/>
                              </w:rPr>
                            </w:pPr>
                            <w:r>
                              <w:rPr>
                                <w:rFonts w:ascii="Proxima Nova;sans-serif" w:hAnsi="Proxima Nov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Proxima Nova;sans-serif" w:hAnsi="Proxima Nova;sans-serif"/>
                          <w:b w:val="false"/>
                          <w:color w:val="000000"/>
                          <w:sz w:val="20"/>
                        </w:rPr>
                      </w:pPr>
                      <w:r>
                        <w:rPr>
                          <w:rFonts w:ascii="Proxima Nova;sans-serif" w:hAnsi="Proxima Nova;sans-serif"/>
                          <w:b w:val="false"/>
                          <w:color w:val="000000"/>
                          <w:sz w:val="20"/>
                        </w:rPr>
                        <w:t>7</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reserves for incurred, but not reported losses), with losses accrued and carried forward for future profit share calculations. In periods where the expenses and losses on the aggregate loan portfolio exceed the monthly earned premiums, no profit share payments are received and future monthly insurance underwriting profits earned are reduced until the earned premiums for the aggregate loan portfolio exceed the accumulated losses at the insurance partner level.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fulfill our performance obligation upon placement of the insurance and recognize profit share revenue and the related contract asset based on the amount of cash flows we expect to receive from the insurance company over the term of the underlying insured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use a forecast model to estimate variable consideration based on undiscounted expected future profit share to be received from our insurance partners. The forecast model projects loan-level earned premiums and insurance claim payments driven by projections of prepayment rate, loan default rate and severity of loss on the remaining active loan portfolio as of the reporting date. These assumptions are derived from an analysis of the historical portfolio performance, prevailing default and prepayment trends, and macroeconomic projections. Estimates of variable consideration generated by the forecast model are constrained to the extent that it is probable that a significant reversal of revenue will not occur in future periods.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 quarterly basis, we update the assumptions used in the forecast model and recognize a change in estimate adjustment to profit share revenue, contract assets and excess profit share receipts liability in the period. To the extent a negative change in estimate exceeds the associated contract asset balance at a loan level, or if cash consideration received is in excess of the expected profit share consideration, the amount is recorded as an excess profit share receipt liability and will be impacted by future changes in estimate related to the profit share revenue forecast.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assess the default and prepayment assumptions of the forecast model against reported performance and lender delinquency data. The forecast model is updated to consider the actual prepayment rate, default, and severity of results and macroeconomic conditions.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shows the profit share revenue from new certified loan originations and the change in estimates of variable consideration related to performance obligations satisfied in previous periods, primarily as a result of actual portfolio performance and forecast assumption changes due to changes in anticipated loan default rates, severity of losses and prepayment rates.</w:t>
      </w:r>
    </w:p>
    <w:tbl>
      <w:tblPr>
        <w:tblW w:w="9077" w:type="dxa"/>
        <w:jc w:val="left"/>
        <w:tblInd w:w="0" w:type="dxa"/>
        <w:tblLayout w:type="fixed"/>
        <w:tblCellMar>
          <w:top w:w="28" w:type="dxa"/>
          <w:left w:w="28" w:type="dxa"/>
          <w:bottom w:w="28" w:type="dxa"/>
          <w:right w:w="28" w:type="dxa"/>
        </w:tblCellMar>
      </w:tblPr>
      <w:tblGrid>
        <w:gridCol w:w="996"/>
        <w:gridCol w:w="879"/>
        <w:gridCol w:w="884"/>
        <w:gridCol w:w="262"/>
        <w:gridCol w:w="803"/>
        <w:gridCol w:w="135"/>
        <w:gridCol w:w="135"/>
        <w:gridCol w:w="135"/>
        <w:gridCol w:w="135"/>
        <w:gridCol w:w="262"/>
        <w:gridCol w:w="934"/>
        <w:gridCol w:w="135"/>
        <w:gridCol w:w="109"/>
        <w:gridCol w:w="109"/>
        <w:gridCol w:w="109"/>
        <w:gridCol w:w="304"/>
        <w:gridCol w:w="1083"/>
        <w:gridCol w:w="157"/>
        <w:gridCol w:w="157"/>
        <w:gridCol w:w="157"/>
        <w:gridCol w:w="157"/>
        <w:gridCol w:w="304"/>
        <w:gridCol w:w="311"/>
        <w:gridCol w:w="425"/>
      </w:tblGrid>
      <w:tr>
        <w:trPr/>
        <w:tc>
          <w:tcPr>
            <w:tcW w:w="9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8" w:type="dxa"/>
            <w:gridSpan w:val="21"/>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Profit share</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31,019</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(7,804)</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Total profit share revenue</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7,969</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9,333</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14,699</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23,215</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May 1, 2025, the Board of Directors authorized share repurchases under a share repurchase program (the “Share Repurchase Program”) allowing the Company to repurchase up to $25.0 million of the Company’s outstanding common stock until May 1, 2026. Repurchases may be made at management’s discretion from time to time on the open market. The Share Repurchase Program may be suspended, amended, or discontinued at any time.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Share Repurchase Program, during the three months ended June 30, 2025, we repurchased 1,971,369 shares at an average price of $2.00 per share for a total of $4.0 million, excluding excise tax. These shares were recorded to Treasury stock, at cost in the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150"/>
                <wp:effectExtent l="0" t="0" r="0" b="0"/>
                <wp:wrapNone/>
                <wp:docPr id="10" name="Frame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Fair Value Measurements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Fair value is the exchange price that would be received for an asset or paid to transfer a liability in an orderly transaction between market participants. In arriving at a fair value measurement, we use a fair value hierarchy based on three levels of inputs, of which the first two are considered observable and the last unobservable. The three levels of inputs used to establish fair value are the following:</w:t>
      </w:r>
    </w:p>
    <w:p>
      <w:pPr>
        <w:pStyle w:val="TextBody"/>
        <w:bidi w:val="0"/>
        <w:spacing w:lineRule="auto" w:line="288" w:before="120" w:after="283"/>
        <w:ind w:left="0" w:right="0" w:hanging="450"/>
        <w:jc w:val="both"/>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450"/>
        <w:jc w:val="both"/>
        <w:rPr/>
      </w:pPr>
      <w:r>
        <w:rPr>
          <w:color w:val="000000"/>
        </w:rPr>
        <w:t>•</w:t>
      </w:r>
      <w:r>
        <w:rPr>
          <w:rFonts w:ascii="Arial;sans-serif" w:hAnsi="Arial;sans-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450"/>
        <w:jc w:val="both"/>
        <w:rPr/>
      </w:pPr>
      <w:r>
        <w:rPr>
          <w:color w:val="000000"/>
        </w:rPr>
        <w:t>•</w:t>
      </w:r>
      <w:r>
        <w:rPr>
          <w:rFonts w:ascii="Arial;sans-serif" w:hAnsi="Arial;sans-serif"/>
          <w:b w:val="false"/>
          <w:color w:val="000000"/>
          <w:sz w:val="20"/>
        </w:rPr>
        <w:t>Level 3 — Unobservable inputs that are supported by little or no market activity and that are significant to the fair value of the assets or liabilities.</w:t>
      </w:r>
    </w:p>
    <w:p>
      <w:pPr>
        <w:pStyle w:val="TextBody"/>
        <w:bidi w:val="0"/>
        <w:spacing w:lineRule="auto" w:line="288" w:before="120" w:after="283"/>
        <w:jc w:val="both"/>
        <w:rPr/>
      </w:pPr>
      <w:r>
        <w:rPr>
          <w:rFonts w:ascii="Arial;sans-serif" w:hAnsi="Arial;sans-serif"/>
          <w:b w:val="false"/>
          <w:color w:val="000000"/>
          <w:sz w:val="20"/>
        </w:rPr>
        <w:t>In situations where there is little, if any, market activity for the asset or liability at the measurement date, the fair value measurement reflects our judgments about the assumptions that market participants would use in pricing the asset or liability. Those judgments are developed based on the best information available in the circumstances, including expected cash flows and appropriately risk-adjusted discount rates, available observable and unobservable inputs. Refer to Note 7—</w:t>
      </w:r>
      <w:r>
        <w:rPr>
          <w:rFonts w:ascii="Arial;sans-serif" w:hAnsi="Arial;sans-serif"/>
          <w:b w:val="false"/>
          <w:i/>
          <w:color w:val="000000"/>
          <w:sz w:val="20"/>
        </w:rPr>
        <w:t>Fair Value of Financial Instruments</w:t>
      </w:r>
      <w:r>
        <w:rPr>
          <w:color w:val="000000"/>
        </w:rPr>
        <w:t xml:space="preserve"> </w:t>
      </w:r>
      <w:r>
        <w:rPr>
          <w:rFonts w:ascii="Arial;sans-serif" w:hAnsi="Arial;sans-serif"/>
          <w:b w:val="false"/>
          <w:color w:val="000000"/>
          <w:sz w:val="20"/>
        </w:rPr>
        <w:t>for a summary of our financial instruments measured at fair value on a recurring basis.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Recently Issued Accounting Pronouncements Not Yet Adopted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We believe this ASU will have no impact on our consolidated financial statements but may result in additional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 — Reporting Comprehensive Income — Expense Disaggregation Disclosures (Subtopic 220-40): Disaggregation of Income Statement Expenses, which requires new disclosures, in a separate note to financial statements, of specified information about certain costs and expenses. The ASU is effective for annual reporting periods beginning after December 15, 2026, and interim reporting periods beginning after December 15, 2027. Early adoption is permitted. We believe this ASU will have no impact on our consolidated financial statements but will result in additional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3—Contract Assets and Excess Profit Share Receipts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Contract Assets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We recognize contract assets when we transfer services to a customer, recognize revenue for amounts not yet billed, and the right to consideration is conditional on something other than the passage of time. Accounts receivable are recorded when the customer has been billed or the right to consideration is unconditional. Changes in our contract assets primarily result from the timing difference between the satisfaction of our performance obligation and receipt of the customer’s payment.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performance obligations related to profit share revenue that were satisfied in previous periods, we evaluate and update our profit share revenue forecast on a quarterly basis and adjust the contract assets accordingly. An increase in the profit share revenue forecast associated with performance obligations satisfied in previous periods, or historic vintages, is reported as a positive change in estimate and generates an increase in our contract asset, additional revenues and future expected cash flows. A decrease in the profit share revenue forecast associated with historic vintages is reported as a negative change in estimate and generates a decrease in our contract asset, and a reduction in revenues and future expected cash flows. To the extent a negative change in estimate exceeds the associated contract asset balance at a loan level, or if cash consideration received is in excess of the expected profit share consideration, the amount is recorded as an excess profit share receipt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150"/>
                <wp:effectExtent l="0" t="0" r="0" b="0"/>
                <wp:wrapNone/>
                <wp:docPr id="11" name="Frame1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the expected profit share variable consideration and related contract assets are recorded and updated on a quarterly basis, the amounts disclosed as “Changes in estimates of revenue from performance obligations satisfied in previous periods” in the table below includes adjustments to revenue recorded in the previous quarters of the same fiscal year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 xml:space="preserve">Contract assets balances for the periods indicated below were as follows: </w:t>
      </w:r>
    </w:p>
    <w:tbl>
      <w:tblPr>
        <w:tblW w:w="10205" w:type="dxa"/>
        <w:jc w:val="left"/>
        <w:tblInd w:w="0" w:type="dxa"/>
        <w:tblLayout w:type="fixed"/>
        <w:tblCellMar>
          <w:top w:w="28" w:type="dxa"/>
          <w:left w:w="28" w:type="dxa"/>
          <w:bottom w:w="28" w:type="dxa"/>
          <w:right w:w="28" w:type="dxa"/>
        </w:tblCellMar>
      </w:tblPr>
      <w:tblGrid>
        <w:gridCol w:w="1368"/>
        <w:gridCol w:w="1096"/>
        <w:gridCol w:w="1103"/>
        <w:gridCol w:w="211"/>
        <w:gridCol w:w="751"/>
        <w:gridCol w:w="109"/>
        <w:gridCol w:w="109"/>
        <w:gridCol w:w="109"/>
        <w:gridCol w:w="109"/>
        <w:gridCol w:w="211"/>
        <w:gridCol w:w="646"/>
        <w:gridCol w:w="109"/>
        <w:gridCol w:w="109"/>
        <w:gridCol w:w="109"/>
        <w:gridCol w:w="109"/>
        <w:gridCol w:w="545"/>
        <w:gridCol w:w="1672"/>
        <w:gridCol w:w="284"/>
        <w:gridCol w:w="109"/>
        <w:gridCol w:w="109"/>
        <w:gridCol w:w="109"/>
        <w:gridCol w:w="211"/>
        <w:gridCol w:w="751"/>
        <w:gridCol w:w="157"/>
      </w:tblGrid>
      <w:tr>
        <w:trPr/>
        <w:tc>
          <w:tcPr>
            <w:tcW w:w="136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Contract Assets</w:t>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Profit</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Program</w:t>
              <w:br/>
              <w:t>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Claims Administration and Other Service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2,205</w:t>
            </w: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15,067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of contract assets due to new business generation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Payables (receivables) transferred from contract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(5,364)</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Profit share realization of losses reducing payments received </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Transfer from excess profit share receipts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24,694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1,714</w:t>
            </w:r>
            <w:r>
              <w:rPr>
                <w:color w:val="000000"/>
              </w:rPr>
              <w:t>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29,448</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(1) Represents the deemed gross payment that would have been received for historic vintages in a contract asset position if not reduced by the realization of accrued losses on historic vintages in an excess profit share receipts liability position. The $5.8 million of realization of losses reduced the contract assets as payment will not be received and reduced the excess profit share receipts liability as discussed below.</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Excess Profit Share Receipts Liability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When profit share cash consideration received is in excess of the expected profit share consideration at the loan level, the amount of excess funds and the forecasted losses are recorded as an excess profit share receipts liability. The excess profit share receipts liability is based on the current forecast of future losses of the active loan portfolio and will be impacted by future changes in estimate related to profit share revenue. There is generally no contractual obligation to return the excess funds while an insurance partner is actively participating in our profit share program; however, future expected profit share cash flows may be reduced. When cash payments received from our insurance partners related to our profit share contract assets are reduced due to the realization of accrued losses, the excess profit share receipts liability and contract asset are both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150"/>
                <wp:effectExtent l="0" t="0" r="0" b="0"/>
                <wp:wrapNone/>
                <wp:docPr id="12" name="Frame11"/>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60" w:after="120"/>
        <w:jc w:val="both"/>
        <w:rPr>
          <w:rFonts w:ascii="Arial;sans-serif" w:hAnsi="Arial;sans-serif"/>
          <w:b w:val="false"/>
          <w:color w:val="000000"/>
          <w:sz w:val="20"/>
        </w:rPr>
      </w:pPr>
      <w:r>
        <w:rPr>
          <w:rFonts w:ascii="Arial;sans-serif" w:hAnsi="Arial;sans-serif"/>
          <w:b w:val="false"/>
          <w:color w:val="000000"/>
          <w:sz w:val="20"/>
        </w:rPr>
        <w:t>The excess profit share receipts liability balance for the periods indicated below were as follows:</w:t>
      </w:r>
    </w:p>
    <w:tbl>
      <w:tblPr>
        <w:tblW w:w="10205" w:type="dxa"/>
        <w:jc w:val="left"/>
        <w:tblInd w:w="0" w:type="dxa"/>
        <w:tblLayout w:type="fixed"/>
        <w:tblCellMar>
          <w:top w:w="28" w:type="dxa"/>
          <w:left w:w="28" w:type="dxa"/>
          <w:bottom w:w="28" w:type="dxa"/>
          <w:right w:w="28" w:type="dxa"/>
        </w:tblCellMar>
      </w:tblPr>
      <w:tblGrid>
        <w:gridCol w:w="3093"/>
        <w:gridCol w:w="2702"/>
        <w:gridCol w:w="2719"/>
        <w:gridCol w:w="109"/>
        <w:gridCol w:w="109"/>
        <w:gridCol w:w="109"/>
        <w:gridCol w:w="257"/>
        <w:gridCol w:w="916"/>
        <w:gridCol w:w="191"/>
      </w:tblGrid>
      <w:tr>
        <w:trPr/>
        <w:tc>
          <w:tcPr>
            <w:tcW w:w="3093"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Profit</w:t>
              <w:br/>
              <w:t>Share</w:t>
            </w:r>
          </w:p>
        </w:tc>
      </w:tr>
      <w:tr>
        <w:trPr/>
        <w:tc>
          <w:tcPr>
            <w:tcW w:w="8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8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47,556</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Realization of losses reducing payments received, net of payments received from insurance carriers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Transfer from contract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50,376</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(1) Represents the realization of losses on historic vintages which reduced the profit share payment received from insurance carriers. Amount is shown net of any payments received from insurance carriers related to historic vintages in an excess profit share liability position.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Contract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fulfillment costs associated with the Company’s contracts with customers do not meet the criteria for capitalization and therefore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4—Long-term Debt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The following table provides a summary of our debt as of the periods indicated:</w:t>
      </w:r>
    </w:p>
    <w:tbl>
      <w:tblPr>
        <w:tblW w:w="7876" w:type="dxa"/>
        <w:jc w:val="left"/>
        <w:tblInd w:w="0" w:type="dxa"/>
        <w:tblLayout w:type="fixed"/>
        <w:tblCellMar>
          <w:top w:w="28" w:type="dxa"/>
          <w:left w:w="28" w:type="dxa"/>
          <w:bottom w:w="28" w:type="dxa"/>
          <w:right w:w="28" w:type="dxa"/>
        </w:tblCellMar>
      </w:tblPr>
      <w:tblGrid>
        <w:gridCol w:w="1801"/>
        <w:gridCol w:w="1574"/>
        <w:gridCol w:w="1589"/>
        <w:gridCol w:w="211"/>
        <w:gridCol w:w="856"/>
        <w:gridCol w:w="109"/>
        <w:gridCol w:w="109"/>
        <w:gridCol w:w="109"/>
        <w:gridCol w:w="109"/>
        <w:gridCol w:w="243"/>
        <w:gridCol w:w="989"/>
        <w:gridCol w:w="177"/>
      </w:tblGrid>
      <w:tr>
        <w:trPr/>
        <w:tc>
          <w:tcPr>
            <w:tcW w:w="180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140,625 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unamortized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139,717 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long-term debt, net of deferred financing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128,640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132,217</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Credit Agreement—Term Loan due 2027 and Revolving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September 9, 2022, we entered into a First Amendment to our existing Credit Agreement (the “First Amendment”) with Wells Fargo Bank, N.A., as the administrative agent, and the financial institutions party thereto, as the lenders. The First Amendment provided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Borrowings under the Credit Agreement bear interest at a rate equal to either (i) an Alternate Base rate (“ABR”) or (ii) the term Secured Overnight Financing Rate (“SOFR”) plus 0.10% (“Adjusted SOFR”) plus a spread that is based upon our total net leverage ratio. The spread ranges from 0.625% to 1.375% per annum for ABR loans and 1.625% to 2.375% per annum for Adjusted SOFR loans. With respect to the ABR loans, interest is payable at the end of each calendar quarter. With respect to the Adjusted SOFR loans, interest is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the Funded Secured Debt/EBITDA ratio increases or decreases.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150"/>
                <wp:effectExtent l="0" t="0" r="0" b="0"/>
                <wp:wrapNone/>
                <wp:docPr id="13" name="Frame1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2025, the Term Loan due 2027 and the Revolving Credit Facility were both subject to an Adjusted SOFR rate of 4.396% plus a spread of 2.125% per annum. Commitment fees were accrued at 0.200% under the Revolving Credit Facility’s unused commitment balance of $150 million as of June 30, 2025. As of June 30, 2025 and December 31, 2024, the effective interest rate on the outstanding borrowings was 6.767% and 7.050%,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Unamortized deferred financing costs related to the Term Loan due 2027 and the Revolving Credit Facility were $0.7 million and $0.2 million, respectively, as of June 30,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obligations under the Credit Agreement are guaranteed by our U.S. subsidiaries and are secured by substantially all of our assets and our U.S. subsidiaries, subject to customary exceptions. The Credit Agreement contains a maximum total net leverage ratio financial covenant and a minimum fixed charge coverage ratio financial covenant, which are tested quarterly. The maximum total net leverage ratio is 3.0:1 and the minimum fixed charge coverage ratio is 1.25:1. As of June 30, 2025, we were in compliance with all required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5—Income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compute our interim provision for income taxes by applying the estimated annual effective tax rate to year-to-date income before income tax and adjust the provision for discrete tax items recorded in the period. Each quarter, we update the estimated annual effective tax rate and make a year-to-date adjustment to the provision. The interim provision for income taxes and estimated annual effective tax rate are subject to volatility due to several factors, including changes in our earnings, changes to our valuation allowance, material discrete tax items and the effects of tax law changes.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 and six months ended June 30, 2025, we recognized income tax expense of $0.1 million and $0.1 million, respectively, resulting in an effective tax rate for those periods of 7.2% and 7.6%, respectively. During the three and six months ended June 30, 2024, we recognized tax expense of $1.4 million and $3.9 million, respectively, resulting in an effective tax rate of 33.1% and 32.7%, respectively. The decrease in effective tax rate for the three and six months ended June 30, 2025 compared to the same periods in 2024 is primarily due to the impact of changes in our valuation allowance during the period and decreased income before 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July 4, 2025, new U.S. tax legislation known as the One Big Beautiful Bill Act (“OBBBA”) was enacted. The OBBBA includes tax reform provisions that amend, eliminate and extend many of the tax rules under the 2017 Inflation Reduction Act and Tax Cuts and Jobs Act. We are currently evaluating the impact of the new legislation but do not expect it to have a material impact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150"/>
                <wp:effectExtent l="0" t="0" r="0" b="0"/>
                <wp:wrapNone/>
                <wp:docPr id="14" name="Frame1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6—Net Income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income per share attributable to common stockholders for the three and six months ended June 30, 2025 and 2024:</w:t>
      </w:r>
    </w:p>
    <w:tbl>
      <w:tblPr>
        <w:tblW w:w="10205" w:type="dxa"/>
        <w:jc w:val="center"/>
        <w:tblInd w:w="0" w:type="dxa"/>
        <w:tblLayout w:type="fixed"/>
        <w:tblCellMar>
          <w:top w:w="28" w:type="dxa"/>
          <w:left w:w="28" w:type="dxa"/>
          <w:bottom w:w="28" w:type="dxa"/>
          <w:right w:w="28" w:type="dxa"/>
        </w:tblCellMar>
      </w:tblPr>
      <w:tblGrid>
        <w:gridCol w:w="1780"/>
        <w:gridCol w:w="1411"/>
        <w:gridCol w:w="1416"/>
        <w:gridCol w:w="252"/>
        <w:gridCol w:w="774"/>
        <w:gridCol w:w="130"/>
        <w:gridCol w:w="130"/>
        <w:gridCol w:w="130"/>
        <w:gridCol w:w="130"/>
        <w:gridCol w:w="252"/>
        <w:gridCol w:w="774"/>
        <w:gridCol w:w="130"/>
        <w:gridCol w:w="109"/>
        <w:gridCol w:w="109"/>
        <w:gridCol w:w="109"/>
        <w:gridCol w:w="234"/>
        <w:gridCol w:w="719"/>
        <w:gridCol w:w="120"/>
        <w:gridCol w:w="120"/>
        <w:gridCol w:w="120"/>
        <w:gridCol w:w="120"/>
        <w:gridCol w:w="234"/>
        <w:gridCol w:w="719"/>
        <w:gridCol w:w="183"/>
      </w:tblGrid>
      <w:tr>
        <w:trPr/>
        <w:tc>
          <w:tcPr>
            <w:tcW w:w="178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Arial;sans-serif" w:hAnsi="Arial;sans-serif"/>
                <w:b w:val="false"/>
                <w:i/>
                <w:color w:val="000000"/>
                <w:sz w:val="18"/>
              </w:rPr>
            </w:pPr>
            <w:r>
              <w:rPr>
                <w:rFonts w:ascii="Arial;sans-serif" w:hAnsi="Arial;sans-serif"/>
                <w:b w:val="false"/>
                <w:i/>
                <w:color w:val="000000"/>
                <w:sz w:val="18"/>
              </w:rPr>
              <w:t>(in thousands, except per share data)</w:t>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Basic net income per share:</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1,034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2,902</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7,989</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118,866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119,206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119,157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119,066</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Basic net income per share attributable to common stockholders</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0.01</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0.02</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Diluted net income per share:</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stockholders</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1,034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2,902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7,989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119,157 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119,066 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employee share awards outstanding</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119,003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119,331</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119,645</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119,388</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Diluted net income per share attributable to common stockholders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0.01</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0.02</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0.01</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0.07</w:t>
            </w:r>
            <w:r>
              <w:rPr>
                <w:color w:val="000000"/>
              </w:rPr>
              <w:t>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tbl>
      <w:tblPr>
        <w:tblW w:w="9914" w:type="dxa"/>
        <w:jc w:val="left"/>
        <w:tblInd w:w="0" w:type="dxa"/>
        <w:tblLayout w:type="fixed"/>
        <w:tblCellMar>
          <w:top w:w="28" w:type="dxa"/>
          <w:left w:w="28" w:type="dxa"/>
          <w:bottom w:w="28" w:type="dxa"/>
          <w:right w:w="28" w:type="dxa"/>
        </w:tblCellMar>
      </w:tblPr>
      <w:tblGrid>
        <w:gridCol w:w="1341"/>
        <w:gridCol w:w="1179"/>
        <w:gridCol w:w="1185"/>
        <w:gridCol w:w="326"/>
        <w:gridCol w:w="326"/>
        <w:gridCol w:w="326"/>
        <w:gridCol w:w="326"/>
        <w:gridCol w:w="326"/>
        <w:gridCol w:w="326"/>
        <w:gridCol w:w="326"/>
        <w:gridCol w:w="326"/>
        <w:gridCol w:w="326"/>
        <w:gridCol w:w="109"/>
        <w:gridCol w:w="109"/>
        <w:gridCol w:w="109"/>
        <w:gridCol w:w="443"/>
        <w:gridCol w:w="286"/>
        <w:gridCol w:w="286"/>
        <w:gridCol w:w="286"/>
        <w:gridCol w:w="286"/>
        <w:gridCol w:w="286"/>
        <w:gridCol w:w="384"/>
        <w:gridCol w:w="286"/>
        <w:gridCol w:w="405"/>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8,469</w:t>
            </w:r>
            <w:r>
              <w:rPr>
                <w:color w:val="000000"/>
              </w:rPr>
              <w:t>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2,156</w:t>
            </w:r>
            <w:r>
              <w:rPr>
                <w:color w:val="000000"/>
              </w:rPr>
              <w:t>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4,137</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1,274</w:t>
            </w:r>
            <w:r>
              <w:rPr>
                <w:color w:val="000000"/>
              </w:rPr>
              <w:t>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150"/>
                <wp:effectExtent l="0" t="0" r="0" b="0"/>
                <wp:wrapNone/>
                <wp:docPr id="15" name="Frame1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7—Fair Value of Financial Instruments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Financial assets measured at fair value on a recurring basis were as follows:</w:t>
      </w:r>
    </w:p>
    <w:tbl>
      <w:tblPr>
        <w:tblW w:w="7619" w:type="dxa"/>
        <w:jc w:val="left"/>
        <w:tblInd w:w="0" w:type="dxa"/>
        <w:tblLayout w:type="fixed"/>
        <w:tblCellMar>
          <w:top w:w="28" w:type="dxa"/>
          <w:left w:w="28" w:type="dxa"/>
          <w:bottom w:w="28" w:type="dxa"/>
          <w:right w:w="28" w:type="dxa"/>
        </w:tblCellMar>
      </w:tblPr>
      <w:tblGrid>
        <w:gridCol w:w="691"/>
        <w:gridCol w:w="605"/>
        <w:gridCol w:w="608"/>
        <w:gridCol w:w="211"/>
        <w:gridCol w:w="856"/>
        <w:gridCol w:w="109"/>
        <w:gridCol w:w="109"/>
        <w:gridCol w:w="109"/>
        <w:gridCol w:w="109"/>
        <w:gridCol w:w="267"/>
        <w:gridCol w:w="1084"/>
        <w:gridCol w:w="138"/>
        <w:gridCol w:w="138"/>
        <w:gridCol w:w="138"/>
        <w:gridCol w:w="138"/>
        <w:gridCol w:w="267"/>
        <w:gridCol w:w="514"/>
        <w:gridCol w:w="138"/>
        <w:gridCol w:w="138"/>
        <w:gridCol w:w="138"/>
        <w:gridCol w:w="138"/>
        <w:gridCol w:w="267"/>
        <w:gridCol w:w="514"/>
        <w:gridCol w:w="195"/>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Fair value measurement as of June 30, 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188,574 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188,574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188,574</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93" w:type="dxa"/>
        <w:jc w:val="left"/>
        <w:tblInd w:w="0" w:type="dxa"/>
        <w:tblLayout w:type="fixed"/>
        <w:tblCellMar>
          <w:top w:w="28" w:type="dxa"/>
          <w:left w:w="28" w:type="dxa"/>
          <w:bottom w:w="28" w:type="dxa"/>
          <w:right w:w="28" w:type="dxa"/>
        </w:tblCellMar>
      </w:tblPr>
      <w:tblGrid>
        <w:gridCol w:w="691"/>
        <w:gridCol w:w="605"/>
        <w:gridCol w:w="608"/>
        <w:gridCol w:w="211"/>
        <w:gridCol w:w="856"/>
        <w:gridCol w:w="109"/>
        <w:gridCol w:w="109"/>
        <w:gridCol w:w="109"/>
        <w:gridCol w:w="109"/>
        <w:gridCol w:w="297"/>
        <w:gridCol w:w="1208"/>
        <w:gridCol w:w="153"/>
        <w:gridCol w:w="153"/>
        <w:gridCol w:w="153"/>
        <w:gridCol w:w="153"/>
        <w:gridCol w:w="297"/>
        <w:gridCol w:w="573"/>
        <w:gridCol w:w="153"/>
        <w:gridCol w:w="153"/>
        <w:gridCol w:w="153"/>
        <w:gridCol w:w="153"/>
        <w:gridCol w:w="297"/>
        <w:gridCol w:w="573"/>
        <w:gridCol w:w="217"/>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Fair value measurement as of December 31, 2024</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238,198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238,198</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The amounts reported in our unaudited Condensed Consolidated Balance Sheets as current assets or current liabilities, including </w:t>
      </w:r>
      <w:r>
        <w:rPr>
          <w:rFonts w:ascii="Arial;sans-serif" w:hAnsi="Arial;sans-serif"/>
          <w:b w:val="false"/>
          <w:i/>
          <w:color w:val="000000"/>
          <w:sz w:val="20"/>
        </w:rPr>
        <w:t>Cash</w:t>
      </w:r>
      <w:r>
        <w:rPr>
          <w:rFonts w:ascii="Arial;sans-serif" w:hAnsi="Arial;sans-serif"/>
          <w:b w:val="false"/>
          <w:color w:val="000000"/>
          <w:sz w:val="20"/>
        </w:rPr>
        <w:t xml:space="preserve">, </w:t>
      </w:r>
      <w:r>
        <w:rPr>
          <w:rFonts w:ascii="Arial;sans-serif" w:hAnsi="Arial;sans-serif"/>
          <w:b w:val="false"/>
          <w:i/>
          <w:color w:val="000000"/>
          <w:sz w:val="20"/>
        </w:rPr>
        <w:t>Restricted cash</w:t>
      </w:r>
      <w:r>
        <w:rPr>
          <w:rFonts w:ascii="Arial;sans-serif" w:hAnsi="Arial;sans-serif"/>
          <w:b w:val="false"/>
          <w:color w:val="000000"/>
          <w:sz w:val="20"/>
        </w:rPr>
        <w:t xml:space="preserve">, </w:t>
      </w:r>
      <w:r>
        <w:rPr>
          <w:rFonts w:ascii="Arial;sans-serif" w:hAnsi="Arial;sans-serif"/>
          <w:b w:val="false"/>
          <w:i/>
          <w:color w:val="000000"/>
          <w:sz w:val="20"/>
        </w:rPr>
        <w:t>Accounts receivable, net</w:t>
      </w:r>
      <w:r>
        <w:rPr>
          <w:rFonts w:ascii="Arial;sans-serif" w:hAnsi="Arial;sans-serif"/>
          <w:b w:val="false"/>
          <w:color w:val="000000"/>
          <w:sz w:val="20"/>
        </w:rPr>
        <w:t xml:space="preserve">, </w:t>
      </w:r>
      <w:r>
        <w:rPr>
          <w:rFonts w:ascii="Arial;sans-serif" w:hAnsi="Arial;sans-serif"/>
          <w:b w:val="false"/>
          <w:i/>
          <w:color w:val="000000"/>
          <w:sz w:val="20"/>
        </w:rPr>
        <w:t>Other current assets</w:t>
      </w:r>
      <w:r>
        <w:rPr>
          <w:rFonts w:ascii="Arial;sans-serif" w:hAnsi="Arial;sans-serif"/>
          <w:b w:val="false"/>
          <w:color w:val="000000"/>
          <w:sz w:val="20"/>
        </w:rPr>
        <w:t xml:space="preserve">, </w:t>
      </w:r>
      <w:r>
        <w:rPr>
          <w:rFonts w:ascii="Arial;sans-serif" w:hAnsi="Arial;sans-serif"/>
          <w:b w:val="false"/>
          <w:i/>
          <w:color w:val="000000"/>
          <w:sz w:val="20"/>
        </w:rPr>
        <w:t>Accounts payable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Accrued expenses</w:t>
      </w:r>
      <w:r>
        <w:rPr>
          <w:rFonts w:ascii="Arial;sans-serif" w:hAnsi="Arial;sans-serif"/>
          <w:b w:val="false"/>
          <w:color w:val="000000"/>
          <w:sz w:val="20"/>
        </w:rPr>
        <w:t>, each approximate their fair value due to the short-term maturities of the instruments.</w:t>
      </w:r>
    </w:p>
    <w:p>
      <w:pPr>
        <w:pStyle w:val="TextBody"/>
        <w:bidi w:val="0"/>
        <w:spacing w:lineRule="auto" w:line="288" w:before="120" w:after="283"/>
        <w:jc w:val="both"/>
        <w:rPr/>
      </w:pPr>
      <w:r>
        <w:rPr>
          <w:rFonts w:ascii="Arial;sans-serif" w:hAnsi="Arial;sans-serif"/>
          <w:b w:val="false"/>
          <w:color w:val="000000"/>
          <w:sz w:val="20"/>
        </w:rPr>
        <w:t xml:space="preserve">The carrying amount of our debt approximates its fair value due to its variable interest rate. The fair value is determined using the Adjusted SOFR as of June 30, 2025 and December 31, 2024 plus an applicable spread, a Level 2 classification in the fair value hierarchy. Refer to Note 4 - </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for the carrying amount of our 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accounting policy is to recognize transfers between levels of the fair value hierarchy on the date of the event or change in circumstances that caused the transfer. There were no transfers into or out of any level for the periods ended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8—Segment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operate as one operating segment. The following table sets forth significant expense categories and other specified amounts included in consolidated net income that are reviewed by the chief operating decision maker (“CODM”), or are otherwise regularly provided to the CODM, for the three and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150"/>
                <wp:effectExtent l="0" t="0" r="0" b="0"/>
                <wp:wrapNone/>
                <wp:docPr id="16" name="Frame1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tbl>
      <w:tblPr>
        <w:tblW w:w="9495" w:type="dxa"/>
        <w:jc w:val="left"/>
        <w:tblInd w:w="0" w:type="dxa"/>
        <w:tblLayout w:type="fixed"/>
        <w:tblCellMar>
          <w:top w:w="28" w:type="dxa"/>
          <w:left w:w="28" w:type="dxa"/>
          <w:bottom w:w="28" w:type="dxa"/>
          <w:right w:w="28" w:type="dxa"/>
        </w:tblCellMar>
      </w:tblPr>
      <w:tblGrid>
        <w:gridCol w:w="1445"/>
        <w:gridCol w:w="1266"/>
        <w:gridCol w:w="1278"/>
        <w:gridCol w:w="228"/>
        <w:gridCol w:w="812"/>
        <w:gridCol w:w="117"/>
        <w:gridCol w:w="117"/>
        <w:gridCol w:w="117"/>
        <w:gridCol w:w="117"/>
        <w:gridCol w:w="228"/>
        <w:gridCol w:w="812"/>
        <w:gridCol w:w="117"/>
        <w:gridCol w:w="109"/>
        <w:gridCol w:w="109"/>
        <w:gridCol w:w="109"/>
        <w:gridCol w:w="211"/>
        <w:gridCol w:w="751"/>
        <w:gridCol w:w="109"/>
        <w:gridCol w:w="109"/>
        <w:gridCol w:w="109"/>
        <w:gridCol w:w="109"/>
        <w:gridCol w:w="211"/>
        <w:gridCol w:w="75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Program fees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Profit share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Total revenue</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25,310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26,727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49,703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57,472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 of services</w:t>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 of services</w:t>
            </w:r>
            <w:r>
              <w:rPr>
                <w:rFonts w:ascii="Arial;sans-serif" w:hAnsi="Arial;sans-serif"/>
                <w:b w:val="false"/>
                <w:color w:val="000000"/>
                <w:sz w:val="13"/>
              </w:rPr>
              <w:t>(1)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cost of services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5,509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5,713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11,463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Gross profit</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19,801</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21,014</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38,110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46,009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Professional fees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 services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w:t>
            </w:r>
            <w:r>
              <w:rPr>
                <w:rFonts w:ascii="Arial;sans-serif" w:hAnsi="Arial;sans-serif"/>
                <w:b w:val="false"/>
                <w:color w:val="000000"/>
                <w:sz w:val="13"/>
              </w:rPr>
              <w:t>(2)</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18,625</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17,024</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36,172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34,696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Operating income</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1,176</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3,990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11,313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other expense, net</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Net income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1,034</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2,902</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7,989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12"/>
        </w:rPr>
        <w:t xml:space="preserve">(1) </w:t>
      </w:r>
      <w:r>
        <w:rPr>
          <w:rFonts w:ascii="Arial;sans-serif" w:hAnsi="Arial;sans-serif"/>
          <w:b w:val="false"/>
          <w:color w:val="000000"/>
          <w:sz w:val="18"/>
        </w:rPr>
        <w:t xml:space="preserve">Other cost of services primarily consists of costs incurred to third party partners for partner commissions, fees paid for actuarial services, fees for integration with the loan origination system of automotive lenders and fees paid to credit bureaus and data service providers. </w:t>
      </w:r>
    </w:p>
    <w:p>
      <w:pPr>
        <w:pStyle w:val="TextBody"/>
        <w:bidi w:val="0"/>
        <w:spacing w:lineRule="auto" w:line="288" w:before="60" w:after="283"/>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Other operating expenses includes marketing expenses, insurance expenses, travel expenses, meals and entertainment expenses, facilities expenses and business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9—Commitments and Contingencies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Shareholder Class Action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May 2025, a putative shareholder class action lawsuit was filed against the Company and our three former Chief Executive Officers in the U.S. District Court for the Western District of Texas. The class action is purportedly brought on behalf of persons who allegedly suffered damages as a result of alleged materially false and/or misleading statements and omissions about our business, operations, and prospects in violation of Sections 10(b) and 20(a) of the Securities Exchange Act of 1934, as amended (the “Exchange Act”), and Rule 10b-5 promulgated thereunder. The complaint alleges that defendants: (1) misrepresented the capabilities of the Company’s risk-based pricing models; (2) issued materially misleading statements regarding the Company’s profit share revenue; (3) failed to disclose the Company’s 2021 and 2022 vintage loans had become worth significantly less than their corresponding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150"/>
                <wp:effectExtent l="0" t="0" r="0" b="0"/>
                <wp:wrapNone/>
                <wp:docPr id="17" name="Frame1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outstanding loan balances; (4) misrepresented the underperformance of the Company’s 2023 and 2024 vintage loans; and (5) as a result of the foregoing, Defendants’ positive statements about the Company’s business, operations, and prospects were materially misleading and/or lacked a reasonable basis. Motions for appointment of lead plaintiff were due on June 30, 2025, and a lead plaintiff was appointed on July 17, 2025. We cannot predict the timing, outcome or consequences of the class action at the current stage. As of June 30, 2025, we have not recorded a loss contingency liability related to this matter. We will continue to evaluate information as it becomes available and will record an estimate for losses when it is both probable a loss has been incurred and the amount of the loss can be reasonably estimated.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150"/>
                <wp:effectExtent l="0" t="0" r="0" b="0"/>
                <wp:wrapNone/>
                <wp:docPr id="18" name="Frame1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on Form 10-K for the year ended December 31, 2024 (our “Annual Report”). This discussion contains forward-looking statements and involves numerous risks and uncertainties, including, but not limited to, those described under the heading “Risk Factors” set forth elsewhere in this Quarterly Report on Form 10-Q (this “Quarterly Report”)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150"/>
                <wp:effectExtent l="0" t="0" r="0" b="0"/>
                <wp:wrapNone/>
                <wp:docPr id="19" name="Frame1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Quarterly Report contains forward-looking statements within the meaning of Section 27A of the Securities Act of 1933, as amended, and Section 21E of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include, but are not limited to, statements about:</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our financial performance;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changes in our strategy, future operations, financial position, forecasting model, estimated revenues and losses, projected costs, prospects and plans;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turnover in automotive lenders, as well as varying activation rates and volatility in usage of LPP by automotive lenders;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impact of macroeconomic conditions and the relative strength of the overall economy, including its effect on unemployment, consumer spending and consumer demand for automotive products;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costs of services in absolute dollars and as a percentage of revenue;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general and administrative expenses, selling and marketing expenses and research and development expenses in absolute dollars and as a percentage of revenue;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growth in loan volume from our top ten automotive lenders relative to that of other automotive lenders and associated concentration of risks;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our compliance with regulatory requirements, including federal and state consumer lending and consumer protection laws;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expansion plans and opportunities;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impact of projected operating cash flows and available cash on hand on our business operations in the future;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ability to maintain the listing of our common stock on the Nasdaq Stock Market LLC;</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changes in applicable laws or regulations, including under the current U.S. administration; and</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applicable taxes, inflation, tariffs, supply chain disruptions, including global hostilities and responses thereto, interest rates and the 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forward-looking statements are based on information and estimates available to us at the time of this Quarterly Report and are not guarantees of future financial performance.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outcome of the events described in these forward-looking statements is subject to known and unknown risks, uncertainties and other factors described in the section titled “Risk Factors” and elsewhere in this Quarterly Report and our Annual Report. We caution you that the foregoing list may not contain all of the forward-looking statements made in this Quarterly Report. You should not rely upon forward-looking statements as predictions of future events.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You should not place undue reliance on these forward-looking statements in deciding whether to invest in our securities. As a result of a number of known and unknown risks and uncertainties, our actual results or performance may be materially different from those expressed or implied by these 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Should one or more of these risks or uncertainties materialize, or should any of the underlying assumptions prove incorrect, actual results may vary in material respects from those expressed or implied by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are a leading provider of lending enablement and risk analytics to credit unions, regional banks, finance companies and the captive finance companies of automakers. Our customers, collectively referred to herein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150"/>
                <wp:effectExtent l="0" t="0" r="0" b="0"/>
                <wp:wrapNone/>
                <wp:docPr id="20" name="Frame1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one million automotive loans representing over $26.6 billion in originations, accumulated more than 20 years of proprietary data and developed over two million unique risk profiles. We currently serve 449 active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flagship product, LPP, is a cloud-based automotive lending enablement platform. LPP supports loans made to near-prime and non-prime borrowers and is designed to underwrite default insurance by linking automotive lenders to our insurance partners. The platform uses risk-based pricing models which enable automotive lenders to assess the credit risk of a potential borrower using data driven analysis. Our proprietary risk models project loan performance, including expected losses and prepayments, in arriving at the optimal contract interest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 based on actual experience and third-party information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Executive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 certified loans and have achieved financial success by targeting the financing needs of near-prime and non-prime borrowers who are underserved in the automotive finance 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facilitated 26,522 and 54,160 certified loans during the three and six months ended June 30, 2025, respectively, as compared to 28,963 and 57,152 certified loans during the three and six months ended June 30, 2024,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Total revenue was $25.3 million and $49.7 million for the three and six months ended June 30, 2025, respectively, as compared to $26.7 million and $57.5 million during the three and six months ended June 30, 2024,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income was $1.2 million and $1.9 million for the three and six months ended June 30, 2025, respectively, as compared to $4.0 million and $11.3 million in the three and six months ended June 30, 2024,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income was $1.0 million and $1.7 million for the three and six months ended June 30, 2025, respectively, as compared to $2.9 million and $8.0 million for the three and six months ended June 30, 2024, respectively.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Share Repurchase Program</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On May 1, 2025, the Board of Directors authorized the Share Repurchase Program allowing the Company to repurchase up to $25.0 million of the Company’s outstanding common stock until May 1, 2026. Repurchases may be made at management’s discretion from time to time in the open market. The Share Repurchase Program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150"/>
                <wp:effectExtent l="0" t="0" r="0" b="0"/>
                <wp:wrapNone/>
                <wp:docPr id="21" name="Frame2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suspended, amended, or discontinued at any time. Pursuant to the Share Repurchase Program, during the three months ended June 30, 2025, we repurchased 1,971,369 shares at an average price of $2.00 per share for a total of $4.0 million, excluding excise tax. These shares were recorded to Treasury stock, at cost in the unaudited Condensed Consolidated Balance Sheets.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Highlights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summarizes the dollar value of insured loans facilitated and the number of new contracts we signed with automotive lenders for the three and six months ended June 30, 2025 and 2024.</w:t>
      </w:r>
    </w:p>
    <w:tbl>
      <w:tblPr>
        <w:tblW w:w="10205" w:type="dxa"/>
        <w:jc w:val="center"/>
        <w:tblInd w:w="0" w:type="dxa"/>
        <w:tblLayout w:type="fixed"/>
        <w:tblCellMar>
          <w:top w:w="28" w:type="dxa"/>
          <w:left w:w="28" w:type="dxa"/>
          <w:bottom w:w="28" w:type="dxa"/>
          <w:right w:w="28" w:type="dxa"/>
        </w:tblCellMar>
      </w:tblPr>
      <w:tblGrid>
        <w:gridCol w:w="1453"/>
        <w:gridCol w:w="1241"/>
        <w:gridCol w:w="1243"/>
        <w:gridCol w:w="227"/>
        <w:gridCol w:w="922"/>
        <w:gridCol w:w="117"/>
        <w:gridCol w:w="117"/>
        <w:gridCol w:w="117"/>
        <w:gridCol w:w="117"/>
        <w:gridCol w:w="227"/>
        <w:gridCol w:w="922"/>
        <w:gridCol w:w="117"/>
        <w:gridCol w:w="109"/>
        <w:gridCol w:w="109"/>
        <w:gridCol w:w="109"/>
        <w:gridCol w:w="211"/>
        <w:gridCol w:w="1021"/>
        <w:gridCol w:w="109"/>
        <w:gridCol w:w="109"/>
        <w:gridCol w:w="109"/>
        <w:gridCol w:w="109"/>
        <w:gridCol w:w="211"/>
        <w:gridCol w:w="1021"/>
        <w:gridCol w:w="158"/>
      </w:tblGrid>
      <w:tr>
        <w:trPr/>
        <w:tc>
          <w:tcPr>
            <w:tcW w:w="145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Certified loans</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28,963 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Value of insured loans facilitated (in thousands)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783,327 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819,253 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1,607,140 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loan size per certified loan</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Number of contracts signed with automotive lenders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Number of active lenders at end of period</w:t>
            </w:r>
            <w:r>
              <w:rPr>
                <w:rFonts w:ascii="Arial;sans-serif" w:hAnsi="Arial;sans-serif"/>
                <w:b w:val="false"/>
                <w:color w:val="000000"/>
                <w:sz w:val="13"/>
              </w:rPr>
              <w:t>(1)</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Active lenders is defined as lenders who certify at least one loan during the preceding 12 months. This number includes 12 and 23 new lenders during the three and six months ended June 30, 2025 and 14 and 18 new lenders during the three and six months ended June 30, 2024, respectively, using LPP to certify loans for the first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Key Performance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review several key performance measures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with recurring revenue streams.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key performance measures for the three and six months ended June 30, 2025 and 2024:</w:t>
      </w:r>
    </w:p>
    <w:tbl>
      <w:tblPr>
        <w:tblW w:w="9319" w:type="dxa"/>
        <w:jc w:val="center"/>
        <w:tblInd w:w="0" w:type="dxa"/>
        <w:tblLayout w:type="fixed"/>
        <w:tblCellMar>
          <w:top w:w="28" w:type="dxa"/>
          <w:left w:w="28" w:type="dxa"/>
          <w:bottom w:w="28" w:type="dxa"/>
          <w:right w:w="28" w:type="dxa"/>
        </w:tblCellMar>
      </w:tblPr>
      <w:tblGrid>
        <w:gridCol w:w="737"/>
        <w:gridCol w:w="650"/>
        <w:gridCol w:w="652"/>
        <w:gridCol w:w="228"/>
        <w:gridCol w:w="523"/>
        <w:gridCol w:w="116"/>
        <w:gridCol w:w="116"/>
        <w:gridCol w:w="116"/>
        <w:gridCol w:w="116"/>
        <w:gridCol w:w="228"/>
        <w:gridCol w:w="523"/>
        <w:gridCol w:w="116"/>
        <w:gridCol w:w="116"/>
        <w:gridCol w:w="116"/>
        <w:gridCol w:w="116"/>
        <w:gridCol w:w="227"/>
        <w:gridCol w:w="227"/>
        <w:gridCol w:w="597"/>
        <w:gridCol w:w="109"/>
        <w:gridCol w:w="109"/>
        <w:gridCol w:w="109"/>
        <w:gridCol w:w="228"/>
        <w:gridCol w:w="523"/>
        <w:gridCol w:w="109"/>
        <w:gridCol w:w="109"/>
        <w:gridCol w:w="109"/>
        <w:gridCol w:w="109"/>
        <w:gridCol w:w="228"/>
        <w:gridCol w:w="523"/>
        <w:gridCol w:w="109"/>
        <w:gridCol w:w="109"/>
        <w:gridCol w:w="109"/>
        <w:gridCol w:w="109"/>
        <w:gridCol w:w="218"/>
        <w:gridCol w:w="218"/>
        <w:gridCol w:w="662"/>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Certified loans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Single-pay</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Monthly-pay</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program fees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Single-pay</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Monthly-pay</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Certified Loans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Average Program Fee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“average program fee” as the total program fee revenue recognized for a period divided by the number of certified loans in that period.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Earned Premium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earn a monthly claims administration service fee, which is calculated by our insurance partners as 3% of the monthly net insurance earned premium collected over the life of the underlying loan. We define “earned premium”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150"/>
                <wp:effectExtent l="0" t="0" r="0" b="0"/>
                <wp:wrapNone/>
                <wp:docPr id="22" name="Frame21"/>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the total insurance premium earned by insurers in a given period. Earned premiums were $80.8 million and $162.6 million for the three and six months ended June 30, 2025, respectively, and $84.6 million and $169.7 million for the three and six months ended June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Insurance Carrier Partners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July 2, 2025, we entered into a five-year extension of our producer agreement with AmTrust North America, Inc. The producer agreement was previously set to expire on December 31, 2028 and has now been extended through December 31, 2033.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Industry Trends and General Economic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fluctuating interest rates, tariffs, uncertainty or changes in monetary and related policies, market volatility, supply chain disruptions, consumer confidence and, particularly, the unemployment rate also influence consumer spending and borrowing patterns.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Total Revenues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revenue is generated through three streams: (i) program fees paid to us by automotive lenders, (ii) profit share paid to us by insurance partners, and (iii) claims administration service fees paid to us by insurance partners. Our revenue grows as we increase active automotive lenders using LPP as it influences the number of loans funded on LPP. Growth in our active automotive lender relationships will depend on our ability to retain existing automotive lenders and add new ones.</w:t>
      </w:r>
    </w:p>
    <w:p>
      <w:pPr>
        <w:pStyle w:val="TextBody"/>
        <w:bidi w:val="0"/>
        <w:spacing w:lineRule="auto" w:line="288" w:before="120" w:after="283"/>
        <w:jc w:val="both"/>
        <w:rPr/>
      </w:pPr>
      <w:r>
        <w:rPr>
          <w:rFonts w:ascii="Arial;sans-serif" w:hAnsi="Arial;sans-serif"/>
          <w:b w:val="false"/>
          <w:i/>
          <w:color w:val="000000"/>
          <w:sz w:val="20"/>
        </w:rPr>
        <w:t>Program fees</w:t>
      </w:r>
      <w:r>
        <w:rPr>
          <w:rFonts w:ascii="Arial;sans-serif" w:hAnsi="Arial;sans-serif"/>
          <w:b w:val="false"/>
          <w:color w:val="000000"/>
          <w:sz w:val="20"/>
        </w:rPr>
        <w:t>. Program fees are paid by automotive lenders for the use of LPP, our cloud-based automotive lending enablement platform, which provides loan analytics solutions and automated issuance of credit default insurance with third-party insurance providers. These fees are based on a percentage of each certified loan’s original principal balance and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calculated as a percentage of the funded loan amount and may be subject to a cap. For monthly-pay loans, the fee paid by the lender is typically between 1% and 3% of the initial amount of the loan and is not capped.</w:t>
      </w:r>
    </w:p>
    <w:p>
      <w:pPr>
        <w:pStyle w:val="TextBody"/>
        <w:bidi w:val="0"/>
        <w:spacing w:lineRule="auto" w:line="288" w:before="120" w:after="283"/>
        <w:jc w:val="both"/>
        <w:rPr/>
      </w:pPr>
      <w:r>
        <w:rPr>
          <w:rFonts w:ascii="Arial;sans-serif" w:hAnsi="Arial;sans-serif"/>
          <w:b w:val="false"/>
          <w:i/>
          <w:color w:val="000000"/>
          <w:sz w:val="20"/>
        </w:rPr>
        <w:t>Profit share.</w:t>
      </w:r>
      <w:r>
        <w:rPr>
          <w:color w:val="000000"/>
        </w:rPr>
        <w:t xml:space="preserve"> </w:t>
      </w:r>
      <w:r>
        <w:rPr>
          <w:rFonts w:ascii="Arial;sans-serif" w:hAnsi="Arial;sans-serif"/>
          <w:b w:val="false"/>
          <w:color w:val="000000"/>
          <w:sz w:val="20"/>
        </w:rPr>
        <w:t>Profit share represents our participation in the underwriting profit of third-party insurance partners who provide automotive lenders with credit default insurance on loans those lenders make using LPP. We receive a percentage of the aggregate monthly insurance underwriting profit over the term of the underlying insured loan. Monthly insurance underwriting profit is calculated as the monthly earned premium less expenses and losses (including reserves for incurred, but not reported losses), with losses accrued and carried forward to future profit share calculations. Thus, the profit share payments received from the insurance carriers are based on the monthly activity of the aggregated loan portfolio at the insurance partner level and can vary each period. In periods where the expenses and losses on the loan portfolio exceed the monthly earned premiums, no profit share payments are received and future monthly insurance underwriting profits earned are reduced until the earned premiums for the aggregate loan portfolio exceed the accumulated losses at the insurance partner level.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Upon placement of the insurance, we estimate the total variable consideration we expect to receive from the insurance company over the term of the underlying insured loan using a forecast model based on undiscounted expected future profit share to be received from our insurance partners. The forecast model projects loan-level earned premiums and insurance claim payments driven by projections of prepayment rate, loan default rate and severity of loss on its remaining active loan portfolio as of the reporting date. These assumptions are derived from an analysis of the historical portfolio performance, prevailing default and prepayment trends, and macroeconomic projections. Estimates of variable consideration generated by the forecast model are constrained to the extent that it is probable that a significant reversal of revenue will not occur in future periods. We recognize the estimated profit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150"/>
                <wp:effectExtent l="0" t="0" r="0" b="0"/>
                <wp:wrapNone/>
                <wp:docPr id="23" name="Frame2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share revenue upon the placement of the insurance as all performance obligations are satisfied at that time and record a contract asset for the consideration we expect to receive over the term of the underlying insured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 quarterly basis, we update the assumptions used in the forecast model and recognize a change in estimate adjustment to our profit share revenue and contract assets and the related excess profit share receipts liability in the period, which could be material. We rely on assumptions to calculate the value of profit share revenue, which is our share of insurance partners’ underwriting profit. We continue to assess the assumptions used in our forecast model against reported performance and lender delinquency data and make updates to the forecast model in an effort to help ensure that default, severity and prepayment rate projections align with actual experience. Positive change in estimates associated with historic vintages generate additional revenues and future expected cash flows, while negative change in estimates generate a reduction in revenues and future expected cash flows. </w:t>
      </w:r>
    </w:p>
    <w:p>
      <w:pPr>
        <w:pStyle w:val="TextBody"/>
        <w:bidi w:val="0"/>
        <w:spacing w:lineRule="auto" w:line="288" w:before="120" w:after="283"/>
        <w:jc w:val="both"/>
        <w:rPr/>
      </w:pPr>
      <w:r>
        <w:rPr>
          <w:rFonts w:ascii="Arial;sans-serif" w:hAnsi="Arial;sans-serif"/>
          <w:b w:val="false"/>
          <w:i/>
          <w:color w:val="000000"/>
          <w:sz w:val="20"/>
        </w:rPr>
        <w:t>Claims administration service fees.</w:t>
      </w:r>
      <w:r>
        <w:rPr>
          <w:color w:val="000000"/>
        </w:rPr>
        <w:t xml:space="preserve"> </w:t>
      </w:r>
      <w:r>
        <w:rPr>
          <w:rFonts w:ascii="Arial;sans-serif" w:hAnsi="Arial;sans-serif"/>
          <w:b w:val="false"/>
          <w:color w:val="000000"/>
          <w:sz w:val="20"/>
        </w:rPr>
        <w:t>Claims administration service fees are paid to us by third-party insurance partners for credit default insurance claims adjudication services performed by our subsidiary, Insurance Administrative Services, LLC, on its insured servicing portfolio. The administration fee is equal to 3% of the monthly insurance earned premium for as long as the LPP certified loan remains outstanding.</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Services and Operating Expenses</w:t>
      </w:r>
    </w:p>
    <w:p>
      <w:pPr>
        <w:pStyle w:val="TextBody"/>
        <w:bidi w:val="0"/>
        <w:spacing w:lineRule="auto" w:line="288" w:before="120" w:after="283"/>
        <w:jc w:val="both"/>
        <w:rPr/>
      </w:pPr>
      <w:r>
        <w:rPr>
          <w:rFonts w:ascii="Arial;sans-serif" w:hAnsi="Arial;sans-serif"/>
          <w:b w:val="false"/>
          <w:i/>
          <w:color w:val="000000"/>
          <w:sz w:val="20"/>
        </w:rPr>
        <w:t xml:space="preserve">Cost of services. </w:t>
      </w:r>
      <w:r>
        <w:rPr>
          <w:rFonts w:ascii="Arial;sans-serif" w:hAnsi="Arial;sans-serif"/>
          <w:b w:val="false"/>
          <w:color w:val="000000"/>
          <w:sz w:val="20"/>
        </w:rPr>
        <w:t>Cost of services primarily consists of fees paid to third-party partners for partner commissions, compensation and benefit 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fees paid to credit bureaus and data service providers for credit applicant data and amortization of capitalized software development costs related to our cloud-based solutions. In the near term, we generally expect cost of services to decrease as a percentage of our program fee revenue.</w:t>
      </w:r>
    </w:p>
    <w:p>
      <w:pPr>
        <w:pStyle w:val="TextBody"/>
        <w:bidi w:val="0"/>
        <w:spacing w:lineRule="auto" w:line="288" w:before="120" w:after="283"/>
        <w:jc w:val="both"/>
        <w:rPr/>
      </w:pPr>
      <w:r>
        <w:rPr>
          <w:rFonts w:ascii="Arial;sans-serif" w:hAnsi="Arial;sans-serif"/>
          <w:b w:val="false"/>
          <w:i/>
          <w:color w:val="000000"/>
          <w:sz w:val="20"/>
        </w:rPr>
        <w:t xml:space="preserve">General and administrative expenses. </w:t>
      </w:r>
      <w:r>
        <w:rPr>
          <w:rFonts w:ascii="Arial;sans-serif" w:hAnsi="Arial;sans-serif"/>
          <w:b w:val="false"/>
          <w:color w:val="000000"/>
          <w:sz w:val="20"/>
        </w:rPr>
        <w:t xml:space="preserve">General and administrative expenses are comprised primarily of employee compensation and benefits, including share-based compensation expense, for corporate level employees, data and software expenses and professional and consulting fees. In the near term, we expect general and administrative expenses to decrease. </w:t>
      </w:r>
    </w:p>
    <w:p>
      <w:pPr>
        <w:pStyle w:val="TextBody"/>
        <w:bidi w:val="0"/>
        <w:spacing w:lineRule="auto" w:line="288" w:before="120" w:after="283"/>
        <w:jc w:val="both"/>
        <w:rPr/>
      </w:pPr>
      <w:r>
        <w:rPr>
          <w:rFonts w:ascii="Arial;sans-serif" w:hAnsi="Arial;sans-serif"/>
          <w:b w:val="false"/>
          <w:i/>
          <w:color w:val="000000"/>
          <w:sz w:val="20"/>
        </w:rPr>
        <w:t xml:space="preserve">Selling and marketing expenses. </w:t>
      </w:r>
      <w:r>
        <w:rPr>
          <w:rFonts w:ascii="Arial;sans-serif" w:hAnsi="Arial;sans-serif"/>
          <w:b w:val="false"/>
          <w:color w:val="000000"/>
          <w:sz w:val="20"/>
        </w:rPr>
        <w:t>Selling and marketing expenses consist primarily of compensation and benefits, as well as travel, meals and entertainment expenses for employees engaged in selling and marketing activities and costs of our business development and marketing programs. We generally expect selling and marketing expenses to decrease in the near term.</w:t>
      </w:r>
    </w:p>
    <w:p>
      <w:pPr>
        <w:pStyle w:val="TextBody"/>
        <w:bidi w:val="0"/>
        <w:spacing w:lineRule="auto" w:line="288" w:before="120" w:after="283"/>
        <w:jc w:val="both"/>
        <w:rPr/>
      </w:pPr>
      <w:r>
        <w:rPr>
          <w:rFonts w:ascii="Arial;sans-serif" w:hAnsi="Arial;sans-serif"/>
          <w:b w:val="false"/>
          <w:i/>
          <w:color w:val="000000"/>
          <w:sz w:val="20"/>
        </w:rPr>
        <w:t xml:space="preserve">Research and development expenses. </w:t>
      </w:r>
      <w:r>
        <w:rPr>
          <w:rFonts w:ascii="Arial;sans-serif" w:hAnsi="Arial;sans-serif"/>
          <w:b w:val="false"/>
          <w:color w:val="000000"/>
          <w:sz w:val="20"/>
        </w:rPr>
        <w:t>Research and development expenses primarily consist of compensation and benefits for employees engaged in product development activities and data and software expenses. In addition, we capitalize certain research and development expenses related to the development of new functionality for our cloud-based solutions, which may cause our research and development expense to fluctuate from period to period. We generally expect our research and development expenses to decrease in the near term.</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120" w:after="283"/>
        <w:jc w:val="both"/>
        <w:rPr/>
      </w:pPr>
      <w:r>
        <w:rPr>
          <w:rFonts w:ascii="Arial;sans-serif" w:hAnsi="Arial;sans-serif"/>
          <w:b w:val="false"/>
          <w:i/>
          <w:color w:val="000000"/>
          <w:sz w:val="20"/>
        </w:rPr>
        <w:t>Interest expense</w:t>
      </w:r>
      <w:r>
        <w:rPr>
          <w:rFonts w:ascii="Arial;sans-serif" w:hAnsi="Arial;sans-serif"/>
          <w:b w:val="false"/>
          <w:color w:val="000000"/>
          <w:sz w:val="20"/>
        </w:rPr>
        <w:t>. Interest expense primarily includes interest payments and the amortization of deferred financing costs in connection with the issuance of our debt. Since the borrowings outstanding under our debt currently bear interest at variable rates, we expect our interest expense may continue to fluctuate as a result of changes in interest rates.</w:t>
      </w:r>
    </w:p>
    <w:p>
      <w:pPr>
        <w:pStyle w:val="TextBody"/>
        <w:bidi w:val="0"/>
        <w:spacing w:lineRule="auto" w:line="288" w:before="120" w:after="283"/>
        <w:jc w:val="both"/>
        <w:rPr/>
      </w:pPr>
      <w:r>
        <w:rPr>
          <w:rFonts w:ascii="Arial;sans-serif" w:hAnsi="Arial;sans-serif"/>
          <w:b w:val="false"/>
          <w:i/>
          <w:color w:val="000000"/>
          <w:sz w:val="20"/>
        </w:rPr>
        <w:t>Interest income</w:t>
      </w:r>
      <w:r>
        <w:rPr>
          <w:rFonts w:ascii="Arial;sans-serif" w:hAnsi="Arial;sans-serif"/>
          <w:b w:val="false"/>
          <w:color w:val="000000"/>
          <w:sz w:val="20"/>
        </w:rPr>
        <w:t>. Interest income primarily includes interest earned on money market funds and U.S. Treasury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150"/>
                <wp:effectExtent l="0" t="0" r="0" b="0"/>
                <wp:wrapNone/>
                <wp:docPr id="24" name="Frame2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Comparison of Three Months Ended June 30, 2025 and 2024</w:t>
      </w:r>
    </w:p>
    <w:p>
      <w:pPr>
        <w:pStyle w:val="TextBody"/>
        <w:bidi w:val="0"/>
        <w:spacing w:lineRule="auto" w:line="288" w:before="180" w:after="283"/>
        <w:jc w:val="left"/>
        <w:rPr/>
      </w:pPr>
      <w:r>
        <w:rPr>
          <w:rFonts w:ascii="Arial;sans-serif" w:hAnsi="Arial;sans-serif"/>
          <w:b/>
          <w:i/>
          <w:color w:val="000000"/>
          <w:sz w:val="20"/>
        </w:rPr>
        <w:t>Revenue</w:t>
      </w:r>
      <w:r>
        <w:rPr>
          <w:color w:val="000000"/>
        </w:rPr>
        <w:t xml:space="preserve"> </w:t>
      </w:r>
    </w:p>
    <w:tbl>
      <w:tblPr>
        <w:tblW w:w="10032" w:type="dxa"/>
        <w:jc w:val="left"/>
        <w:tblInd w:w="0" w:type="dxa"/>
        <w:tblLayout w:type="fixed"/>
        <w:tblCellMar>
          <w:top w:w="28" w:type="dxa"/>
          <w:left w:w="28" w:type="dxa"/>
          <w:bottom w:w="28" w:type="dxa"/>
          <w:right w:w="28" w:type="dxa"/>
        </w:tblCellMar>
      </w:tblPr>
      <w:tblGrid>
        <w:gridCol w:w="1547"/>
        <w:gridCol w:w="1358"/>
        <w:gridCol w:w="1369"/>
        <w:gridCol w:w="251"/>
        <w:gridCol w:w="894"/>
        <w:gridCol w:w="129"/>
        <w:gridCol w:w="129"/>
        <w:gridCol w:w="129"/>
        <w:gridCol w:w="129"/>
        <w:gridCol w:w="251"/>
        <w:gridCol w:w="894"/>
        <w:gridCol w:w="129"/>
        <w:gridCol w:w="109"/>
        <w:gridCol w:w="109"/>
        <w:gridCol w:w="109"/>
        <w:gridCol w:w="211"/>
        <w:gridCol w:w="706"/>
        <w:gridCol w:w="109"/>
        <w:gridCol w:w="109"/>
        <w:gridCol w:w="109"/>
        <w:gridCol w:w="109"/>
        <w:gridCol w:w="240"/>
        <w:gridCol w:w="241"/>
        <w:gridCol w:w="662"/>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Program fees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14,933</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14,836</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Profit share</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profit share</w:t>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7,969</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9,333</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Claims administration and other service fees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2,408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2,558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25,310</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26,727</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pPr>
      <w:r>
        <w:rPr>
          <w:rFonts w:ascii="Arial;sans-serif" w:hAnsi="Arial;sans-serif"/>
          <w:b w:val="false"/>
          <w:color w:val="000000"/>
          <w:sz w:val="20"/>
        </w:rPr>
        <w:t>Total revenue</w:t>
      </w:r>
      <w:r>
        <w:rPr>
          <w:color w:val="000000"/>
          <w:shd w:fill="FFFFFF" w:val="clear"/>
        </w:rPr>
        <w:t xml:space="preserve"> </w:t>
      </w:r>
      <w:r>
        <w:rPr>
          <w:rFonts w:ascii="Arial;sans-serif" w:hAnsi="Arial;sans-serif"/>
          <w:b w:val="false"/>
          <w:color w:val="000000"/>
          <w:sz w:val="20"/>
        </w:rPr>
        <w:t>decrease</w:t>
      </w:r>
      <w:r>
        <w:rPr>
          <w:rFonts w:ascii="Arial;sans-serif" w:hAnsi="Arial;sans-serif"/>
          <w:b w:val="false"/>
          <w:color w:val="000000"/>
          <w:sz w:val="20"/>
          <w:shd w:fill="FFFFFF" w:val="clear"/>
        </w:rPr>
        <w:t>d</w:t>
      </w:r>
      <w:r>
        <w:rPr>
          <w:color w:val="000000"/>
        </w:rPr>
        <w:t xml:space="preserve"> </w:t>
      </w:r>
      <w:r>
        <w:rPr>
          <w:rFonts w:ascii="Arial;sans-serif" w:hAnsi="Arial;sans-serif"/>
          <w:b w:val="false"/>
          <w:color w:val="000000"/>
          <w:sz w:val="20"/>
        </w:rPr>
        <w:t>by $1.4 million, or 5%, primarily driven by a $1.4 million decrease in profit share revenue as compared to the three months ended June 30, 2024.</w:t>
      </w:r>
    </w:p>
    <w:p>
      <w:pPr>
        <w:pStyle w:val="TextBody"/>
        <w:bidi w:val="0"/>
        <w:spacing w:lineRule="auto" w:line="288" w:before="120" w:after="283"/>
        <w:jc w:val="both"/>
        <w:rPr/>
      </w:pPr>
      <w:r>
        <w:rPr>
          <w:rFonts w:ascii="Arial;sans-serif" w:hAnsi="Arial;sans-serif"/>
          <w:b w:val="false"/>
          <w:i/>
          <w:color w:val="000000"/>
          <w:sz w:val="20"/>
        </w:rPr>
        <w:t xml:space="preserve">Program Fees. </w:t>
      </w:r>
      <w:r>
        <w:rPr>
          <w:rFonts w:ascii="Arial;sans-serif" w:hAnsi="Arial;sans-serif"/>
          <w:b w:val="false"/>
          <w:color w:val="000000"/>
          <w:sz w:val="20"/>
        </w:rPr>
        <w:t>Program fees revenue</w:t>
      </w:r>
      <w:r>
        <w:rPr>
          <w:color w:val="000000"/>
          <w:shd w:fill="FFFFFF" w:val="clear"/>
        </w:rPr>
        <w:t xml:space="preserve"> </w:t>
      </w:r>
      <w:r>
        <w:rPr>
          <w:rFonts w:ascii="Arial;sans-serif" w:hAnsi="Arial;sans-serif"/>
          <w:b w:val="false"/>
          <w:color w:val="000000"/>
          <w:sz w:val="20"/>
        </w:rPr>
        <w:t>increase</w:t>
      </w:r>
      <w:r>
        <w:rPr>
          <w:rFonts w:ascii="Arial;sans-serif" w:hAnsi="Arial;sans-serif"/>
          <w:b w:val="false"/>
          <w:color w:val="000000"/>
          <w:sz w:val="20"/>
          <w:shd w:fill="FFFFFF" w:val="clear"/>
        </w:rPr>
        <w:t>d</w:t>
      </w:r>
      <w:r>
        <w:rPr>
          <w:color w:val="000000"/>
        </w:rPr>
        <w:t xml:space="preserve"> </w:t>
      </w:r>
      <w:r>
        <w:rPr>
          <w:rFonts w:ascii="Arial;sans-serif" w:hAnsi="Arial;sans-serif"/>
          <w:b w:val="false"/>
          <w:color w:val="000000"/>
          <w:sz w:val="20"/>
        </w:rPr>
        <w:t>by $0.1 million, or 1%, primarily driven by a 10% increase in unit economics per certified loan, partially offset by an 8% decrease in certified loan volume.</w:t>
      </w:r>
    </w:p>
    <w:p>
      <w:pPr>
        <w:pStyle w:val="TextBody"/>
        <w:bidi w:val="0"/>
        <w:spacing w:lineRule="auto" w:line="288" w:before="120" w:after="283"/>
        <w:jc w:val="both"/>
        <w:rPr/>
      </w:pPr>
      <w:r>
        <w:rPr>
          <w:rFonts w:ascii="Arial;sans-serif" w:hAnsi="Arial;sans-serif"/>
          <w:b w:val="false"/>
          <w:i/>
          <w:color w:val="000000"/>
          <w:sz w:val="20"/>
        </w:rPr>
        <w:t xml:space="preserve">Profit Share. </w:t>
      </w:r>
      <w:r>
        <w:rPr>
          <w:rFonts w:ascii="Arial;sans-serif" w:hAnsi="Arial;sans-serif"/>
          <w:b w:val="false"/>
          <w:color w:val="000000"/>
          <w:sz w:val="20"/>
        </w:rPr>
        <w:t xml:space="preserve">Profit share revenue decreased by $1.4 million, or 15%, due to an $8.3 million, or 52%, decrease in anticipated profit share revenue associated with new certified loan originations, partially offset by a $7.0 million, or 105%, increase in the change in estimate adjustment during the period.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 months ended June 30, 2025, we recorded $7.7 million in anticipated profit share associated with 26,522 new certified loans for an average of $289 per loan, as compared to $16.0 million in anticipated profit share associated with 28,963 certified loans for an average of $552 per loan during the three months ended June 30, 2024. The decrease in the average revenue per loan was due to a decrease in expected future profit share consideration to be received from our insurance partners on the loans certified based on current estimates of loan default rates, prepayment rates and severity of losses.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during the three months ended June 30, 2025, we recorded an increase in estimated profit share revenue of $0.3 million for changes in estimates of variable consideration related to performance obligations satisfied in previous periods, or historic vintages, primarily as a result of forecast assumption changes due to lower than anticipated severity of losses, partially offset by higher than anticipated loan defaults and prepayment rates. During the three months ended June 30, 2024, we recorded a decrease of $6.7 million in profit share revenue for changes in estimates of variable consideration of historic vintages primarily due to higher than anticipated loan defaults, partially offset by lower than anticipated severity of losses.</w:t>
      </w:r>
    </w:p>
    <w:p>
      <w:pPr>
        <w:pStyle w:val="TextBody"/>
        <w:bidi w:val="0"/>
        <w:spacing w:lineRule="auto" w:line="288" w:before="120" w:after="283"/>
        <w:jc w:val="both"/>
        <w:rPr/>
      </w:pPr>
      <w:r>
        <w:rPr>
          <w:rFonts w:ascii="Arial;sans-serif" w:hAnsi="Arial;sans-serif"/>
          <w:b w:val="false"/>
          <w:i/>
          <w:color w:val="000000"/>
          <w:sz w:val="20"/>
        </w:rPr>
        <w:t>Claims Administration and Other Service Fees.</w:t>
      </w:r>
      <w:r>
        <w:rPr>
          <w:color w:val="000000"/>
        </w:rPr>
        <w:t xml:space="preserve"> </w:t>
      </w:r>
      <w:r>
        <w:rPr>
          <w:rFonts w:ascii="Arial;sans-serif" w:hAnsi="Arial;sans-serif"/>
          <w:b w:val="false"/>
          <w:color w:val="000000"/>
          <w:sz w:val="20"/>
          <w:shd w:fill="FFFFFF" w:val="clear"/>
        </w:rPr>
        <w:t xml:space="preserve">Revenue from claims administration and other service fees, which primarily represents 3% of our insurance partners’ earned premium, </w:t>
      </w:r>
      <w:r>
        <w:rPr>
          <w:rFonts w:ascii="Arial;sans-serif" w:hAnsi="Arial;sans-serif"/>
          <w:b w:val="false"/>
          <w:color w:val="000000"/>
          <w:sz w:val="20"/>
        </w:rPr>
        <w:t>decrease</w:t>
      </w:r>
      <w:r>
        <w:rPr>
          <w:rFonts w:ascii="Arial;sans-serif" w:hAnsi="Arial;sans-serif"/>
          <w:b w:val="false"/>
          <w:color w:val="000000"/>
          <w:sz w:val="20"/>
          <w:shd w:fill="FFFFFF" w:val="clear"/>
        </w:rPr>
        <w:t xml:space="preserve">d by </w:t>
      </w:r>
      <w:r>
        <w:rPr>
          <w:rFonts w:ascii="Arial;sans-serif" w:hAnsi="Arial;sans-serif"/>
          <w:b w:val="false"/>
          <w:color w:val="000000"/>
          <w:sz w:val="20"/>
        </w:rPr>
        <w:t>$0.2 million,</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6%</w:t>
      </w:r>
      <w:r>
        <w:rPr>
          <w:rFonts w:ascii="Arial;sans-serif" w:hAnsi="Arial;sans-serif"/>
          <w:b w:val="false"/>
          <w:color w:val="000000"/>
          <w:sz w:val="20"/>
          <w:shd w:fill="FFFFFF" w:val="clear"/>
        </w:rPr>
        <w:t>, due to</w:t>
      </w:r>
      <w:r>
        <w:rPr>
          <w:color w:val="000000"/>
        </w:rPr>
        <w:t xml:space="preserve"> </w:t>
      </w:r>
      <w:r>
        <w:rPr>
          <w:rFonts w:ascii="Arial;sans-serif" w:hAnsi="Arial;sans-serif"/>
          <w:b w:val="false"/>
          <w:color w:val="000000"/>
          <w:sz w:val="20"/>
        </w:rPr>
        <w:t>a decrease in total</w:t>
      </w:r>
      <w:r>
        <w:rPr>
          <w:color w:val="000000"/>
          <w:shd w:fill="FFFFFF" w:val="clear"/>
        </w:rPr>
        <w:t xml:space="preserve"> </w:t>
      </w:r>
      <w:r>
        <w:rPr>
          <w:rFonts w:ascii="Arial;sans-serif" w:hAnsi="Arial;sans-serif"/>
          <w:b w:val="false"/>
          <w:color w:val="000000"/>
          <w:sz w:val="20"/>
          <w:shd w:fill="FFFFFF" w:val="clear"/>
        </w:rPr>
        <w:t>earned premiums.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Services, Gross Profit and Gross Margin</w:t>
      </w:r>
    </w:p>
    <w:tbl>
      <w:tblPr>
        <w:tblW w:w="7256" w:type="dxa"/>
        <w:jc w:val="center"/>
        <w:tblInd w:w="0" w:type="dxa"/>
        <w:tblLayout w:type="fixed"/>
        <w:tblCellMar>
          <w:top w:w="28" w:type="dxa"/>
          <w:left w:w="28" w:type="dxa"/>
          <w:bottom w:w="28" w:type="dxa"/>
          <w:right w:w="28" w:type="dxa"/>
        </w:tblCellMar>
      </w:tblPr>
      <w:tblGrid>
        <w:gridCol w:w="560"/>
        <w:gridCol w:w="490"/>
        <w:gridCol w:w="495"/>
        <w:gridCol w:w="219"/>
        <w:gridCol w:w="782"/>
        <w:gridCol w:w="297"/>
        <w:gridCol w:w="113"/>
        <w:gridCol w:w="113"/>
        <w:gridCol w:w="113"/>
        <w:gridCol w:w="219"/>
        <w:gridCol w:w="782"/>
        <w:gridCol w:w="297"/>
        <w:gridCol w:w="109"/>
        <w:gridCol w:w="109"/>
        <w:gridCol w:w="109"/>
        <w:gridCol w:w="211"/>
        <w:gridCol w:w="706"/>
        <w:gridCol w:w="109"/>
        <w:gridCol w:w="109"/>
        <w:gridCol w:w="109"/>
        <w:gridCol w:w="109"/>
        <w:gridCol w:w="217"/>
        <w:gridCol w:w="217"/>
        <w:gridCol w:w="662"/>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25,310</w:t>
            </w: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26,727</w:t>
            </w: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19,801</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21,014</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margin</w:t>
            </w:r>
          </w:p>
        </w:tc>
        <w:tc>
          <w:tcPr>
            <w:tcW w:w="10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78</w:t>
            </w:r>
          </w:p>
        </w:tc>
        <w:tc>
          <w:tcPr>
            <w:tcW w:w="2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79</w:t>
            </w:r>
          </w:p>
        </w:tc>
        <w:tc>
          <w:tcPr>
            <w:tcW w:w="2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150"/>
                <wp:effectExtent l="0" t="0" r="0" b="0"/>
                <wp:wrapNone/>
                <wp:docPr id="25" name="Frame2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i/>
          <w:color w:val="000000"/>
          <w:sz w:val="20"/>
        </w:rPr>
        <w:t>Cost of Services.</w:t>
      </w:r>
      <w:r>
        <w:rPr>
          <w:color w:val="000000"/>
        </w:rPr>
        <w:t xml:space="preserve"> </w:t>
      </w:r>
      <w:r>
        <w:rPr>
          <w:rFonts w:ascii="Arial;sans-serif" w:hAnsi="Arial;sans-serif"/>
          <w:b w:val="false"/>
          <w:color w:val="000000"/>
          <w:sz w:val="20"/>
        </w:rPr>
        <w:t>Cost of services decreased $0.2 million, or 4%, primarily due to a decrease in employee compensation and benefits of $0.7 million, partially offset by increases in fees paid to data service providers of $0.4 million and partner commissions of $0.2 million.</w:t>
      </w:r>
    </w:p>
    <w:p>
      <w:pPr>
        <w:pStyle w:val="TextBody"/>
        <w:bidi w:val="0"/>
        <w:spacing w:lineRule="auto" w:line="288" w:before="120" w:after="283"/>
        <w:jc w:val="both"/>
        <w:rPr/>
      </w:pPr>
      <w:r>
        <w:rPr>
          <w:rFonts w:ascii="Arial;sans-serif" w:hAnsi="Arial;sans-serif"/>
          <w:b w:val="false"/>
          <w:i/>
          <w:color w:val="000000"/>
          <w:sz w:val="20"/>
        </w:rPr>
        <w:t>Gross Profit.</w:t>
      </w:r>
      <w:r>
        <w:rPr>
          <w:color w:val="000000"/>
        </w:rPr>
        <w:t xml:space="preserve"> </w:t>
      </w:r>
      <w:r>
        <w:rPr>
          <w:rFonts w:ascii="Arial;sans-serif" w:hAnsi="Arial;sans-serif"/>
          <w:b w:val="false"/>
          <w:color w:val="000000"/>
          <w:sz w:val="20"/>
        </w:rPr>
        <w:t>Gross profit decrease</w:t>
      </w:r>
      <w:r>
        <w:rPr>
          <w:rFonts w:ascii="Arial;sans-serif" w:hAnsi="Arial;sans-serif"/>
          <w:b w:val="false"/>
          <w:color w:val="000000"/>
          <w:sz w:val="20"/>
          <w:shd w:fill="FFFFFF" w:val="clear"/>
        </w:rPr>
        <w:t xml:space="preserve">d </w:t>
      </w:r>
      <w:r>
        <w:rPr>
          <w:rFonts w:ascii="Arial;sans-serif" w:hAnsi="Arial;sans-serif"/>
          <w:b w:val="false"/>
          <w:color w:val="000000"/>
          <w:sz w:val="20"/>
        </w:rPr>
        <w:t>by $1.2 million, or 6%, primarily driven by decreases in profit share revenue as discussed above.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Operating Expenses, Operating Income and Operating Margin</w:t>
      </w:r>
    </w:p>
    <w:tbl>
      <w:tblPr>
        <w:tblW w:w="8250" w:type="dxa"/>
        <w:jc w:val="center"/>
        <w:tblInd w:w="0" w:type="dxa"/>
        <w:tblLayout w:type="fixed"/>
        <w:tblCellMar>
          <w:top w:w="28" w:type="dxa"/>
          <w:left w:w="28" w:type="dxa"/>
          <w:bottom w:w="28" w:type="dxa"/>
          <w:right w:w="28" w:type="dxa"/>
        </w:tblCellMar>
      </w:tblPr>
      <w:tblGrid>
        <w:gridCol w:w="901"/>
        <w:gridCol w:w="793"/>
        <w:gridCol w:w="795"/>
        <w:gridCol w:w="403"/>
        <w:gridCol w:w="208"/>
        <w:gridCol w:w="546"/>
        <w:gridCol w:w="208"/>
        <w:gridCol w:w="208"/>
        <w:gridCol w:w="208"/>
        <w:gridCol w:w="403"/>
        <w:gridCol w:w="208"/>
        <w:gridCol w:w="546"/>
        <w:gridCol w:w="109"/>
        <w:gridCol w:w="109"/>
        <w:gridCol w:w="109"/>
        <w:gridCol w:w="211"/>
        <w:gridCol w:w="706"/>
        <w:gridCol w:w="109"/>
        <w:gridCol w:w="109"/>
        <w:gridCol w:w="109"/>
        <w:gridCol w:w="109"/>
        <w:gridCol w:w="240"/>
        <w:gridCol w:w="241"/>
        <w:gridCol w:w="662"/>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11,964</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4,146</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2,515</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18,625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1,176</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(71)</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margin</w:t>
            </w:r>
          </w:p>
        </w:tc>
        <w:tc>
          <w:tcPr>
            <w:tcW w:w="6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5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w:t>
            </w:r>
            <w:r>
              <w:rPr>
                <w:color w:val="000000"/>
              </w:rPr>
              <w:t> </w:t>
            </w:r>
          </w:p>
        </w:tc>
        <w:tc>
          <w:tcPr>
            <w:tcW w:w="5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240" w:after="283"/>
        <w:jc w:val="both"/>
        <w:rPr/>
      </w:pPr>
      <w:r>
        <w:rPr>
          <w:rFonts w:ascii="Arial;sans-serif" w:hAnsi="Arial;sans-serif"/>
          <w:b w:val="false"/>
          <w:i/>
          <w:color w:val="000000"/>
          <w:sz w:val="20"/>
        </w:rPr>
        <w:t>General and Administrative.</w:t>
      </w:r>
      <w:r>
        <w:rPr>
          <w:color w:val="000000"/>
        </w:rPr>
        <w:t xml:space="preserve"> </w:t>
      </w:r>
      <w:r>
        <w:rPr>
          <w:rFonts w:ascii="Arial;sans-serif" w:hAnsi="Arial;sans-serif"/>
          <w:b w:val="false"/>
          <w:color w:val="000000"/>
          <w:sz w:val="20"/>
        </w:rPr>
        <w:t xml:space="preserve">General and administrative expenses increased by $0.2 million, or 2%, primarily driven by a $1.5 million increase in employee compensation and benefit costs, partially offset by a $1.2 million decrease in professional fees. </w:t>
      </w:r>
    </w:p>
    <w:p>
      <w:pPr>
        <w:pStyle w:val="TextBody"/>
        <w:bidi w:val="0"/>
        <w:spacing w:lineRule="auto" w:line="288" w:before="120" w:after="283"/>
        <w:jc w:val="both"/>
        <w:rPr/>
      </w:pPr>
      <w:r>
        <w:rPr>
          <w:rFonts w:ascii="Arial;sans-serif" w:hAnsi="Arial;sans-serif"/>
          <w:b w:val="false"/>
          <w:i/>
          <w:color w:val="000000"/>
          <w:sz w:val="20"/>
        </w:rPr>
        <w:t>Selling and Marketing.</w:t>
      </w:r>
      <w:r>
        <w:rPr>
          <w:color w:val="000000"/>
        </w:rPr>
        <w:t xml:space="preserve"> </w:t>
      </w:r>
      <w:r>
        <w:rPr>
          <w:rFonts w:ascii="Arial;sans-serif" w:hAnsi="Arial;sans-serif"/>
          <w:b w:val="false"/>
          <w:color w:val="000000"/>
          <w:sz w:val="20"/>
        </w:rPr>
        <w:t>Selling and marketing expenses were flat when compared to the periods ended June 30, 2025 and 2024.</w:t>
      </w:r>
    </w:p>
    <w:p>
      <w:pPr>
        <w:pStyle w:val="TextBody"/>
        <w:bidi w:val="0"/>
        <w:spacing w:lineRule="auto" w:line="288" w:before="120" w:after="283"/>
        <w:jc w:val="both"/>
        <w:rPr/>
      </w:pPr>
      <w:r>
        <w:rPr>
          <w:rFonts w:ascii="Arial;sans-serif" w:hAnsi="Arial;sans-serif"/>
          <w:b w:val="false"/>
          <w:i/>
          <w:color w:val="000000"/>
          <w:sz w:val="20"/>
        </w:rPr>
        <w:t>Research and Development.</w:t>
      </w:r>
      <w:r>
        <w:rPr>
          <w:color w:val="000000"/>
        </w:rPr>
        <w:t xml:space="preserve"> </w:t>
      </w:r>
      <w:r>
        <w:rPr>
          <w:rFonts w:ascii="Arial;sans-serif" w:hAnsi="Arial;sans-serif"/>
          <w:b w:val="false"/>
          <w:color w:val="000000"/>
          <w:sz w:val="20"/>
          <w:shd w:fill="FFFFFF" w:val="clear"/>
        </w:rPr>
        <w:t xml:space="preserve">Research and development expenses </w:t>
      </w:r>
      <w:r>
        <w:rPr>
          <w:rFonts w:ascii="Arial;sans-serif" w:hAnsi="Arial;sans-serif"/>
          <w:b w:val="false"/>
          <w:color w:val="000000"/>
          <w:sz w:val="20"/>
        </w:rPr>
        <w:t>increase</w:t>
      </w:r>
      <w:r>
        <w:rPr>
          <w:rFonts w:ascii="Arial;sans-serif" w:hAnsi="Arial;sans-serif"/>
          <w:b w:val="false"/>
          <w:color w:val="000000"/>
          <w:sz w:val="20"/>
          <w:shd w:fill="FFFFFF" w:val="clear"/>
        </w:rPr>
        <w:t xml:space="preserve">d by </w:t>
      </w:r>
      <w:r>
        <w:rPr>
          <w:rFonts w:ascii="Arial;sans-serif" w:hAnsi="Arial;sans-serif"/>
          <w:b w:val="false"/>
          <w:color w:val="000000"/>
          <w:sz w:val="20"/>
        </w:rPr>
        <w:t>$1.4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123%,</w:t>
      </w:r>
      <w:r>
        <w:rPr>
          <w:color w:val="000000"/>
          <w:shd w:fill="FFFFFF" w:val="clear"/>
        </w:rPr>
        <w:t xml:space="preserve"> </w:t>
      </w:r>
      <w:r>
        <w:rPr>
          <w:rFonts w:ascii="Arial;sans-serif" w:hAnsi="Arial;sans-serif"/>
          <w:b w:val="false"/>
          <w:color w:val="000000"/>
          <w:sz w:val="20"/>
          <w:shd w:fill="FFFFFF" w:val="clear"/>
        </w:rPr>
        <w:t>primarily due to</w:t>
      </w:r>
      <w:r>
        <w:rPr>
          <w:color w:val="000000"/>
        </w:rPr>
        <w:t xml:space="preserve"> </w:t>
      </w:r>
      <w:r>
        <w:rPr>
          <w:rFonts w:ascii="Arial;sans-serif" w:hAnsi="Arial;sans-serif"/>
          <w:b w:val="false"/>
          <w:color w:val="000000"/>
          <w:sz w:val="20"/>
        </w:rPr>
        <w:t>an increase in employee compensation and benefit costs of $1.5 million, partially offset by a decrease in IT consulting costs of $0.1 million</w:t>
      </w:r>
      <w:r>
        <w:rPr>
          <w:rFonts w:ascii="Arial;sans-serif" w:hAnsi="Arial;sans-serif"/>
          <w:b w:val="false"/>
          <w:color w:val="000000"/>
          <w:sz w:val="20"/>
          <w:shd w:fill="FFFFFF" w:val="clear"/>
        </w:rPr>
        <w:t>. The increase in employee compensation and benefits costs is primarily due to an increased focus on product development activities as well as a decrease in capitalized software development costs.</w:t>
      </w:r>
    </w:p>
    <w:p>
      <w:pPr>
        <w:pStyle w:val="TextBody"/>
        <w:bidi w:val="0"/>
        <w:spacing w:lineRule="auto" w:line="288" w:before="120" w:after="283"/>
        <w:jc w:val="both"/>
        <w:rPr/>
      </w:pPr>
      <w:r>
        <w:rPr>
          <w:rFonts w:ascii="Arial;sans-serif" w:hAnsi="Arial;sans-serif"/>
          <w:b w:val="false"/>
          <w:i/>
          <w:color w:val="000000"/>
          <w:sz w:val="20"/>
        </w:rPr>
        <w:t>Operating income.</w:t>
      </w:r>
      <w:r>
        <w:rPr>
          <w:color w:val="000000"/>
        </w:rPr>
        <w:t xml:space="preserve"> </w:t>
      </w:r>
      <w:r>
        <w:rPr>
          <w:rFonts w:ascii="Arial;sans-serif" w:hAnsi="Arial;sans-serif"/>
          <w:b w:val="false"/>
          <w:color w:val="000000"/>
          <w:sz w:val="20"/>
        </w:rPr>
        <w:t xml:space="preserve">Operating income for the three months ended June 30, 2025 decreased by $2.8 million, or 71%, as compared to the prior year period, </w:t>
      </w:r>
      <w:r>
        <w:rPr>
          <w:rFonts w:ascii="Arial;sans-serif" w:hAnsi="Arial;sans-serif"/>
          <w:b w:val="false"/>
          <w:color w:val="000000"/>
          <w:sz w:val="20"/>
          <w:shd w:fill="FFFFFF" w:val="clear"/>
        </w:rPr>
        <w:t>primarily driven by a decrease in total revenues and an increase in operating expenses as discussed above.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Interest Expense and Interest Income</w:t>
      </w:r>
    </w:p>
    <w:tbl>
      <w:tblPr>
        <w:tblW w:w="8004" w:type="dxa"/>
        <w:jc w:val="left"/>
        <w:tblInd w:w="0" w:type="dxa"/>
        <w:tblLayout w:type="fixed"/>
        <w:tblCellMar>
          <w:top w:w="28" w:type="dxa"/>
          <w:left w:w="28" w:type="dxa"/>
          <w:bottom w:w="28" w:type="dxa"/>
          <w:right w:w="28" w:type="dxa"/>
        </w:tblCellMar>
      </w:tblPr>
      <w:tblGrid>
        <w:gridCol w:w="570"/>
        <w:gridCol w:w="500"/>
        <w:gridCol w:w="504"/>
        <w:gridCol w:w="523"/>
        <w:gridCol w:w="353"/>
        <w:gridCol w:w="353"/>
        <w:gridCol w:w="270"/>
        <w:gridCol w:w="270"/>
        <w:gridCol w:w="270"/>
        <w:gridCol w:w="523"/>
        <w:gridCol w:w="353"/>
        <w:gridCol w:w="353"/>
        <w:gridCol w:w="109"/>
        <w:gridCol w:w="109"/>
        <w:gridCol w:w="109"/>
        <w:gridCol w:w="480"/>
        <w:gridCol w:w="247"/>
        <w:gridCol w:w="249"/>
        <w:gridCol w:w="109"/>
        <w:gridCol w:w="109"/>
        <w:gridCol w:w="109"/>
        <w:gridCol w:w="350"/>
        <w:gridCol w:w="350"/>
        <w:gridCol w:w="351"/>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(2,419)</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2,357</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i/>
          <w:color w:val="000000"/>
          <w:sz w:val="20"/>
          <w:shd w:fill="FFFFFF" w:val="clear"/>
        </w:rPr>
        <w:t xml:space="preserve">Interest Expense. </w:t>
      </w:r>
      <w:r>
        <w:rPr>
          <w:rFonts w:ascii="Arial;sans-serif" w:hAnsi="Arial;sans-serif"/>
          <w:b w:val="false"/>
          <w:color w:val="000000"/>
          <w:sz w:val="20"/>
          <w:shd w:fill="FFFFFF" w:val="clear"/>
        </w:rPr>
        <w:t xml:space="preserve">Interest expense </w:t>
      </w:r>
      <w:r>
        <w:rPr>
          <w:rFonts w:ascii="Arial;sans-serif" w:hAnsi="Arial;sans-serif"/>
          <w:b w:val="false"/>
          <w:color w:val="000000"/>
          <w:sz w:val="20"/>
        </w:rPr>
        <w:t>decrease</w:t>
      </w:r>
      <w:r>
        <w:rPr>
          <w:rFonts w:ascii="Arial;sans-serif" w:hAnsi="Arial;sans-serif"/>
          <w:b w:val="false"/>
          <w:color w:val="000000"/>
          <w:sz w:val="20"/>
          <w:shd w:fill="FFFFFF" w:val="clear"/>
        </w:rPr>
        <w:t xml:space="preserve">d </w:t>
      </w:r>
      <w:r>
        <w:rPr>
          <w:rFonts w:ascii="Arial;sans-serif" w:hAnsi="Arial;sans-serif"/>
          <w:b w:val="false"/>
          <w:color w:val="000000"/>
          <w:sz w:val="20"/>
        </w:rPr>
        <w:t>$0.3 million,</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12%</w:t>
      </w:r>
      <w:r>
        <w:rPr>
          <w:rFonts w:ascii="Arial;sans-serif" w:hAnsi="Arial;sans-serif"/>
          <w:b w:val="false"/>
          <w:color w:val="000000"/>
          <w:sz w:val="20"/>
          <w:shd w:fill="FFFFFF" w:val="clear"/>
        </w:rPr>
        <w:t>, as a result of lower borrowing costs primarily due to a decrease in interest rates and a reduction in our principal balance during the period</w:t>
      </w:r>
      <w:r>
        <w:rPr>
          <w:rFonts w:ascii="Arial;sans-serif" w:hAnsi="Arial;sans-serif"/>
          <w:b w:val="false"/>
          <w:color w:val="000000"/>
          <w:sz w:val="20"/>
        </w:rPr>
        <w:t xml:space="preserve">. </w:t>
      </w:r>
    </w:p>
    <w:p>
      <w:pPr>
        <w:pStyle w:val="TextBody"/>
        <w:bidi w:val="0"/>
        <w:spacing w:lineRule="auto" w:line="288" w:before="120" w:after="283"/>
        <w:jc w:val="both"/>
        <w:rPr/>
      </w:pPr>
      <w:r>
        <w:rPr>
          <w:rFonts w:ascii="Arial;sans-serif" w:hAnsi="Arial;sans-serif"/>
          <w:b w:val="false"/>
          <w:i/>
          <w:color w:val="000000"/>
          <w:sz w:val="20"/>
          <w:shd w:fill="FFFFFF" w:val="clear"/>
        </w:rPr>
        <w:t xml:space="preserve">Interest Income. </w:t>
      </w:r>
      <w:r>
        <w:rPr>
          <w:rFonts w:ascii="Arial;sans-serif" w:hAnsi="Arial;sans-serif"/>
          <w:b w:val="false"/>
          <w:color w:val="000000"/>
          <w:sz w:val="20"/>
        </w:rPr>
        <w:t>Interest income decreased $0.7 million, or 24%, primarily due to a decrease in interest earned on our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150"/>
                <wp:effectExtent l="0" t="0" r="0" b="0"/>
                <wp:wrapNone/>
                <wp:docPr id="26" name="Frame2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Taxes</w:t>
      </w:r>
    </w:p>
    <w:tbl>
      <w:tblPr>
        <w:tblW w:w="8993" w:type="dxa"/>
        <w:jc w:val="left"/>
        <w:tblInd w:w="0" w:type="dxa"/>
        <w:tblLayout w:type="fixed"/>
        <w:tblCellMar>
          <w:top w:w="28" w:type="dxa"/>
          <w:left w:w="28" w:type="dxa"/>
          <w:bottom w:w="28" w:type="dxa"/>
          <w:right w:w="28" w:type="dxa"/>
        </w:tblCellMar>
      </w:tblPr>
      <w:tblGrid>
        <w:gridCol w:w="938"/>
        <w:gridCol w:w="826"/>
        <w:gridCol w:w="830"/>
        <w:gridCol w:w="523"/>
        <w:gridCol w:w="293"/>
        <w:gridCol w:w="293"/>
        <w:gridCol w:w="270"/>
        <w:gridCol w:w="270"/>
        <w:gridCol w:w="270"/>
        <w:gridCol w:w="523"/>
        <w:gridCol w:w="293"/>
        <w:gridCol w:w="293"/>
        <w:gridCol w:w="109"/>
        <w:gridCol w:w="109"/>
        <w:gridCol w:w="109"/>
        <w:gridCol w:w="480"/>
        <w:gridCol w:w="350"/>
        <w:gridCol w:w="355"/>
        <w:gridCol w:w="109"/>
        <w:gridCol w:w="109"/>
        <w:gridCol w:w="109"/>
        <w:gridCol w:w="350"/>
        <w:gridCol w:w="350"/>
        <w:gridCol w:w="351"/>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1,114</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Income tax expense decreased $1.4 million, primarily as a result of the impact of changes in our valuation allowance during the period and a decrease in income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Comparison of Six Months Ended June 30, 2025 and 2024</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Revenue </w:t>
      </w:r>
    </w:p>
    <w:tbl>
      <w:tblPr>
        <w:tblW w:w="9703" w:type="dxa"/>
        <w:jc w:val="left"/>
        <w:tblInd w:w="0" w:type="dxa"/>
        <w:tblLayout w:type="fixed"/>
        <w:tblCellMar>
          <w:top w:w="28" w:type="dxa"/>
          <w:left w:w="28" w:type="dxa"/>
          <w:bottom w:w="28" w:type="dxa"/>
          <w:right w:w="28" w:type="dxa"/>
        </w:tblCellMar>
      </w:tblPr>
      <w:tblGrid>
        <w:gridCol w:w="1547"/>
        <w:gridCol w:w="1358"/>
        <w:gridCol w:w="1369"/>
        <w:gridCol w:w="226"/>
        <w:gridCol w:w="807"/>
        <w:gridCol w:w="117"/>
        <w:gridCol w:w="117"/>
        <w:gridCol w:w="117"/>
        <w:gridCol w:w="117"/>
        <w:gridCol w:w="226"/>
        <w:gridCol w:w="807"/>
        <w:gridCol w:w="117"/>
        <w:gridCol w:w="109"/>
        <w:gridCol w:w="109"/>
        <w:gridCol w:w="109"/>
        <w:gridCol w:w="211"/>
        <w:gridCol w:w="706"/>
        <w:gridCol w:w="109"/>
        <w:gridCol w:w="109"/>
        <w:gridCol w:w="109"/>
        <w:gridCol w:w="109"/>
        <w:gridCol w:w="218"/>
        <w:gridCol w:w="218"/>
        <w:gridCol w:w="662"/>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Program fees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30,143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29,145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Profit share</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profit share</w:t>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14,699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23,215</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(37)</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Claims administration and other service fees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4,861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5,112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49,703</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57,472</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(7,769)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Total revenue decreased by $7.8 million, or 14% primarily driven by an $8.5 million decrease in profit share revenue and a $0.3 million decrease in claims administration and other service fee revenues, partially offset by a $1.0 million increase in program fees.</w:t>
      </w:r>
    </w:p>
    <w:p>
      <w:pPr>
        <w:pStyle w:val="TextBody"/>
        <w:bidi w:val="0"/>
        <w:spacing w:lineRule="auto" w:line="288" w:before="120" w:after="283"/>
        <w:jc w:val="both"/>
        <w:rPr/>
      </w:pPr>
      <w:r>
        <w:rPr>
          <w:rFonts w:ascii="Arial;sans-serif" w:hAnsi="Arial;sans-serif"/>
          <w:b w:val="false"/>
          <w:i/>
          <w:color w:val="000000"/>
          <w:sz w:val="20"/>
        </w:rPr>
        <w:t>Program Fees</w:t>
      </w:r>
      <w:r>
        <w:rPr>
          <w:rFonts w:ascii="Arial;sans-serif" w:hAnsi="Arial;sans-serif"/>
          <w:b w:val="false"/>
          <w:color w:val="000000"/>
          <w:sz w:val="20"/>
        </w:rPr>
        <w:t>. Program fees revenue increased by $1.0 million, or 3%, primarily driven by a 9% increase in unit economics per certified loan, partially offset by a 5% decrease in certified loan volume.</w:t>
      </w:r>
    </w:p>
    <w:p>
      <w:pPr>
        <w:pStyle w:val="TextBody"/>
        <w:bidi w:val="0"/>
        <w:spacing w:lineRule="auto" w:line="288" w:before="120" w:after="283"/>
        <w:jc w:val="both"/>
        <w:rPr/>
      </w:pPr>
      <w:r>
        <w:rPr>
          <w:rFonts w:ascii="Arial;sans-serif" w:hAnsi="Arial;sans-serif"/>
          <w:b w:val="false"/>
          <w:i/>
          <w:color w:val="000000"/>
          <w:sz w:val="20"/>
        </w:rPr>
        <w:t>Profit Share</w:t>
      </w:r>
      <w:r>
        <w:rPr>
          <w:rFonts w:ascii="Arial;sans-serif" w:hAnsi="Arial;sans-serif"/>
          <w:b w:val="false"/>
          <w:color w:val="000000"/>
          <w:sz w:val="20"/>
        </w:rPr>
        <w:t>. Profit share revenue decreased by $8.5 million, or 37%, due to a $15.7 million, or 51%, decrease in anticipated profit share revenue associated with new certified loan originations, partially offset by a $7.2 million, or 92%, decrease in the negative change in estimate adjustment during the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2025, we recorded $15.3 million in anticipated profit share associated with 54,160 new certified loans for an average of $283 per loan as compared to $31.0 million in anticipated profit share associated with 57,152 certified loans for an average of $543 per loan during the six months ended June 30,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addition, during the six months ended June 30, 2025, we recorded a reduction of $0.6 million in profit share revenue for changes in estimates of variable consideration related to performance obligations satisfied in previous periods, or historic vintages, primarily as a result of forecast assumption changes due to higher than anticipated loan defaults, partially offset by lower than anticipated prepayment rates and severity of losses. During the six months ended June 30, 2024, we recorded a reduction of $7.8 million in profit share revenue for changes in estimates of variable consideration of historic vintages primarily due to higher than anticipated loan defaults, partially offset by lower than anticipated severity of losses and prepayment rates. </w:t>
      </w:r>
    </w:p>
    <w:p>
      <w:pPr>
        <w:pStyle w:val="TextBody"/>
        <w:bidi w:val="0"/>
        <w:spacing w:lineRule="auto" w:line="288" w:before="120" w:after="283"/>
        <w:jc w:val="both"/>
        <w:rPr/>
      </w:pPr>
      <w:r>
        <w:rPr>
          <w:rFonts w:ascii="Arial;sans-serif" w:hAnsi="Arial;sans-serif"/>
          <w:b w:val="false"/>
          <w:i/>
          <w:color w:val="000000"/>
          <w:sz w:val="20"/>
        </w:rPr>
        <w:t>Claims Administration and Other Service Fees</w:t>
      </w:r>
      <w:r>
        <w:rPr>
          <w:rFonts w:ascii="Arial;sans-serif" w:hAnsi="Arial;sans-serif"/>
          <w:b w:val="false"/>
          <w:color w:val="000000"/>
          <w:sz w:val="20"/>
        </w:rPr>
        <w:t>. Revenue from claims administration and other service fees, which primarily represents 3% of our insurance partners’ earned premium, decreased $0.3 million, or 5%, due to a decrease in total earned premiums.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150"/>
                <wp:effectExtent l="0" t="0" r="0" b="0"/>
                <wp:wrapNone/>
                <wp:docPr id="27" name="Frame2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Services, Gross Profit and Gross Margin</w:t>
      </w:r>
    </w:p>
    <w:tbl>
      <w:tblPr>
        <w:tblW w:w="7146" w:type="dxa"/>
        <w:jc w:val="center"/>
        <w:tblInd w:w="0" w:type="dxa"/>
        <w:tblLayout w:type="fixed"/>
        <w:tblCellMar>
          <w:top w:w="28" w:type="dxa"/>
          <w:left w:w="28" w:type="dxa"/>
          <w:bottom w:w="28" w:type="dxa"/>
          <w:right w:w="28" w:type="dxa"/>
        </w:tblCellMar>
      </w:tblPr>
      <w:tblGrid>
        <w:gridCol w:w="560"/>
        <w:gridCol w:w="490"/>
        <w:gridCol w:w="495"/>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18"/>
        <w:gridCol w:w="218"/>
        <w:gridCol w:w="662"/>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49,703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57,472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38,110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46,009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margin</w:t>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77</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80</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pPr>
      <w:r>
        <w:rPr>
          <w:rFonts w:ascii="Arial;sans-serif" w:hAnsi="Arial;sans-serif"/>
          <w:b w:val="false"/>
          <w:i/>
          <w:color w:val="000000"/>
          <w:sz w:val="20"/>
        </w:rPr>
        <w:t>Cost of services</w:t>
      </w:r>
      <w:r>
        <w:rPr>
          <w:rFonts w:ascii="Arial;sans-serif" w:hAnsi="Arial;sans-serif"/>
          <w:b w:val="false"/>
          <w:color w:val="000000"/>
          <w:sz w:val="20"/>
        </w:rPr>
        <w:t xml:space="preserve">. Cost of services increased $0.1 million, or 1%, primarily due to increases in partner commissions of $0.5 million and fees paid to data service providers of $0.9 million, partially offset by a decrease in employee compensation and benefits of $1.2 million. </w:t>
      </w:r>
    </w:p>
    <w:p>
      <w:pPr>
        <w:pStyle w:val="TextBody"/>
        <w:bidi w:val="0"/>
        <w:spacing w:lineRule="auto" w:line="288" w:before="120" w:after="283"/>
        <w:jc w:val="both"/>
        <w:rPr/>
      </w:pPr>
      <w:r>
        <w:rPr>
          <w:rFonts w:ascii="Arial;sans-serif" w:hAnsi="Arial;sans-serif"/>
          <w:b w:val="false"/>
          <w:i/>
          <w:color w:val="000000"/>
          <w:sz w:val="20"/>
        </w:rPr>
        <w:t>Gross profit</w:t>
      </w:r>
      <w:r>
        <w:rPr>
          <w:rFonts w:ascii="Arial;sans-serif" w:hAnsi="Arial;sans-serif"/>
          <w:b w:val="false"/>
          <w:color w:val="000000"/>
          <w:sz w:val="20"/>
        </w:rPr>
        <w:t>. Gross profit decrease</w:t>
      </w:r>
      <w:r>
        <w:rPr>
          <w:rFonts w:ascii="Arial;sans-serif" w:hAnsi="Arial;sans-serif"/>
          <w:b w:val="false"/>
          <w:color w:val="000000"/>
          <w:sz w:val="20"/>
          <w:shd w:fill="FFFFFF" w:val="clear"/>
        </w:rPr>
        <w:t xml:space="preserve">d </w:t>
      </w:r>
      <w:r>
        <w:rPr>
          <w:rFonts w:ascii="Arial;sans-serif" w:hAnsi="Arial;sans-serif"/>
          <w:b w:val="false"/>
          <w:color w:val="000000"/>
          <w:sz w:val="20"/>
        </w:rPr>
        <w:t>by $7.9 million, or 17%, primarily driven by a decrease in profit share revenue and an increase in cost of services, as discussed above.</w:t>
      </w:r>
      <w:r>
        <w:rPr>
          <w:color w:val="000000"/>
          <w:shd w:fill="FFFFFF" w:val="clear"/>
        </w:rPr>
        <w:t xml:space="preserv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Operating Expenses, Operating Income and Operating Margin</w:t>
      </w:r>
    </w:p>
    <w:tbl>
      <w:tblPr>
        <w:tblW w:w="8090" w:type="dxa"/>
        <w:jc w:val="center"/>
        <w:tblInd w:w="0" w:type="dxa"/>
        <w:tblLayout w:type="fixed"/>
        <w:tblCellMar>
          <w:top w:w="28" w:type="dxa"/>
          <w:left w:w="28" w:type="dxa"/>
          <w:bottom w:w="28" w:type="dxa"/>
          <w:right w:w="28" w:type="dxa"/>
        </w:tblCellMar>
      </w:tblPr>
      <w:tblGrid>
        <w:gridCol w:w="901"/>
        <w:gridCol w:w="793"/>
        <w:gridCol w:w="795"/>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18"/>
        <w:gridCol w:w="218"/>
        <w:gridCol w:w="662"/>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36,172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34,696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1,938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11,313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(83)</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margin</w:t>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pPr>
      <w:r>
        <w:rPr>
          <w:rFonts w:ascii="Arial;sans-serif" w:hAnsi="Arial;sans-serif"/>
          <w:b w:val="false"/>
          <w:i/>
          <w:color w:val="000000"/>
          <w:sz w:val="20"/>
        </w:rPr>
        <w:t>General and Administrative</w:t>
      </w:r>
      <w:r>
        <w:rPr>
          <w:rFonts w:ascii="Arial;sans-serif" w:hAnsi="Arial;sans-serif"/>
          <w:b w:val="false"/>
          <w:color w:val="000000"/>
          <w:sz w:val="20"/>
        </w:rPr>
        <w:t>. General and administrative expenses decreased by $0.9 million, or 4%, primarily driven by a $1.0 million decrease in professional fees.</w:t>
      </w:r>
    </w:p>
    <w:p>
      <w:pPr>
        <w:pStyle w:val="TextBody"/>
        <w:bidi w:val="0"/>
        <w:spacing w:lineRule="auto" w:line="288" w:before="120" w:after="283"/>
        <w:jc w:val="both"/>
        <w:rPr/>
      </w:pPr>
      <w:r>
        <w:rPr>
          <w:rFonts w:ascii="Arial;sans-serif" w:hAnsi="Arial;sans-serif"/>
          <w:b w:val="false"/>
          <w:i/>
          <w:color w:val="000000"/>
          <w:sz w:val="20"/>
        </w:rPr>
        <w:t>Selling and Marketing</w:t>
      </w:r>
      <w:r>
        <w:rPr>
          <w:rFonts w:ascii="Arial;sans-serif" w:hAnsi="Arial;sans-serif"/>
          <w:b w:val="false"/>
          <w:color w:val="000000"/>
          <w:sz w:val="20"/>
        </w:rPr>
        <w:t xml:space="preserve">. Selling and marketing expenses increased by $0.2 million, or 2%, primarily due to a $0.4 million increase in employee compensation and benefit costs, partially offset by a $0.2 million decrease in marketing expenses. </w:t>
      </w:r>
    </w:p>
    <w:p>
      <w:pPr>
        <w:pStyle w:val="TextBody"/>
        <w:bidi w:val="0"/>
        <w:spacing w:lineRule="auto" w:line="288" w:before="120" w:after="283"/>
        <w:jc w:val="both"/>
        <w:rPr/>
      </w:pPr>
      <w:r>
        <w:rPr>
          <w:rFonts w:ascii="Arial;sans-serif" w:hAnsi="Arial;sans-serif"/>
          <w:b w:val="false"/>
          <w:i/>
          <w:color w:val="000000"/>
          <w:sz w:val="20"/>
        </w:rPr>
        <w:t>Research and Development</w:t>
      </w:r>
      <w:r>
        <w:rPr>
          <w:rFonts w:ascii="Arial;sans-serif" w:hAnsi="Arial;sans-serif"/>
          <w:b w:val="false"/>
          <w:color w:val="000000"/>
          <w:sz w:val="20"/>
        </w:rPr>
        <w:t xml:space="preserve">. Research and development expenses increased by $2.2 million, or 83%, primarily due to an increase in employee compensation and benefit costs of $2.4 million, partially offset by a decrease in data service costs of $0.3 million. </w:t>
      </w:r>
      <w:r>
        <w:rPr>
          <w:rFonts w:ascii="Arial;sans-serif" w:hAnsi="Arial;sans-serif"/>
          <w:b w:val="false"/>
          <w:color w:val="000000"/>
          <w:sz w:val="20"/>
          <w:shd w:fill="FFFFFF" w:val="clear"/>
        </w:rPr>
        <w:t>The increase in employee compensation and benefits costs is primarily due to an increased focus on product development activities as well as a decrease in capitalized software development costs.</w:t>
      </w:r>
    </w:p>
    <w:p>
      <w:pPr>
        <w:pStyle w:val="TextBody"/>
        <w:bidi w:val="0"/>
        <w:spacing w:lineRule="auto" w:line="288" w:before="120" w:after="283"/>
        <w:jc w:val="both"/>
        <w:rPr/>
      </w:pPr>
      <w:r>
        <w:rPr>
          <w:rFonts w:ascii="Arial;sans-serif" w:hAnsi="Arial;sans-serif"/>
          <w:b w:val="false"/>
          <w:i/>
          <w:color w:val="000000"/>
          <w:sz w:val="20"/>
        </w:rPr>
        <w:t>Operating income</w:t>
      </w:r>
      <w:r>
        <w:rPr>
          <w:rFonts w:ascii="Arial;sans-serif" w:hAnsi="Arial;sans-serif"/>
          <w:b w:val="false"/>
          <w:color w:val="000000"/>
          <w:sz w:val="20"/>
        </w:rPr>
        <w:t>. Operating income for the six months ended June 30, 2025 decreased by $9.4 million, or 83% as compared to the prior year period, primarily driven by decreases in total revenues and increases in operating expenses as discussed above.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Interest Expense and Interest Income</w:t>
      </w:r>
    </w:p>
    <w:tbl>
      <w:tblPr>
        <w:tblW w:w="7770" w:type="dxa"/>
        <w:jc w:val="left"/>
        <w:tblInd w:w="0" w:type="dxa"/>
        <w:tblLayout w:type="fixed"/>
        <w:tblCellMar>
          <w:top w:w="28" w:type="dxa"/>
          <w:left w:w="28" w:type="dxa"/>
          <w:bottom w:w="28" w:type="dxa"/>
          <w:right w:w="28" w:type="dxa"/>
        </w:tblCellMar>
      </w:tblPr>
      <w:tblGrid>
        <w:gridCol w:w="570"/>
        <w:gridCol w:w="500"/>
        <w:gridCol w:w="504"/>
        <w:gridCol w:w="314"/>
        <w:gridCol w:w="353"/>
        <w:gridCol w:w="353"/>
        <w:gridCol w:w="162"/>
        <w:gridCol w:w="162"/>
        <w:gridCol w:w="162"/>
        <w:gridCol w:w="314"/>
        <w:gridCol w:w="1052"/>
        <w:gridCol w:w="162"/>
        <w:gridCol w:w="109"/>
        <w:gridCol w:w="109"/>
        <w:gridCol w:w="109"/>
        <w:gridCol w:w="480"/>
        <w:gridCol w:w="247"/>
        <w:gridCol w:w="249"/>
        <w:gridCol w:w="109"/>
        <w:gridCol w:w="109"/>
        <w:gridCol w:w="109"/>
        <w:gridCol w:w="350"/>
        <w:gridCol w:w="350"/>
        <w:gridCol w:w="351"/>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(5,008)</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4,857</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shd w:fill="FFFFFF" w:val="clear"/>
        </w:rPr>
        <w:t xml:space="preserve">Interest Expense. </w:t>
      </w:r>
      <w:r>
        <w:rPr>
          <w:rFonts w:ascii="Arial;sans-serif" w:hAnsi="Arial;sans-serif"/>
          <w:b w:val="false"/>
          <w:color w:val="000000"/>
          <w:sz w:val="20"/>
        </w:rPr>
        <w:t>Interest expense decreased $0.5 million, or 9%, as a result of lower borrowing costs primarily due to a decrease in interest rates and a reduction in our principal balance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150"/>
                <wp:effectExtent l="0" t="0" r="0" b="0"/>
                <wp:wrapNone/>
                <wp:docPr id="28" name="Frame2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color w:val="000000"/>
          <w:sz w:val="20"/>
          <w:shd w:fill="FFFFFF" w:val="clear"/>
        </w:rPr>
        <w:t>Interest Income. I</w:t>
      </w:r>
      <w:r>
        <w:rPr>
          <w:rFonts w:ascii="Arial;sans-serif" w:hAnsi="Arial;sans-serif"/>
          <w:b w:val="false"/>
          <w:color w:val="000000"/>
          <w:sz w:val="20"/>
        </w:rPr>
        <w:t>nterest income decreased $1.2 million, or 20%, primarily due to a decrease in interest earned on our cash equivalents.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Taxes</w:t>
      </w:r>
    </w:p>
    <w:tbl>
      <w:tblPr>
        <w:tblW w:w="9023" w:type="dxa"/>
        <w:jc w:val="left"/>
        <w:tblInd w:w="0" w:type="dxa"/>
        <w:tblLayout w:type="fixed"/>
        <w:tblCellMar>
          <w:top w:w="28" w:type="dxa"/>
          <w:left w:w="28" w:type="dxa"/>
          <w:bottom w:w="28" w:type="dxa"/>
          <w:right w:w="28" w:type="dxa"/>
        </w:tblCellMar>
      </w:tblPr>
      <w:tblGrid>
        <w:gridCol w:w="938"/>
        <w:gridCol w:w="826"/>
        <w:gridCol w:w="830"/>
        <w:gridCol w:w="472"/>
        <w:gridCol w:w="293"/>
        <w:gridCol w:w="293"/>
        <w:gridCol w:w="244"/>
        <w:gridCol w:w="244"/>
        <w:gridCol w:w="244"/>
        <w:gridCol w:w="472"/>
        <w:gridCol w:w="345"/>
        <w:gridCol w:w="346"/>
        <w:gridCol w:w="109"/>
        <w:gridCol w:w="109"/>
        <w:gridCol w:w="109"/>
        <w:gridCol w:w="480"/>
        <w:gridCol w:w="402"/>
        <w:gridCol w:w="408"/>
        <w:gridCol w:w="109"/>
        <w:gridCol w:w="109"/>
        <w:gridCol w:w="109"/>
        <w:gridCol w:w="350"/>
        <w:gridCol w:w="350"/>
        <w:gridCol w:w="351"/>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1,787</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expense</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Effective tax rate</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Income tax expense decreased $3.7 million, or 96%, primarily as a result of the impact of changes in our valuation allowance during the period and a decrease in income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 and Liquidity Analysis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forecast model assumptions and is, therefore, subject to variability. Changes in these assumptions have resulted in negative impacts to our estimated profit share revenues, which may adversely affect our future expected cash flows. In addition, we continue to evaluate the impact of any potential loss that might result from the shareholder class action lawsuit. Despite these uncertainties, we 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Based on our assessment of the underlying provisions and circumstances of our contractual obligations, other than the risks that we and other similarly situated companies face with respect to macroeconomic conditions and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cash flow data:</w:t>
      </w:r>
    </w:p>
    <w:tbl>
      <w:tblPr>
        <w:tblW w:w="7167" w:type="dxa"/>
        <w:jc w:val="left"/>
        <w:tblInd w:w="0" w:type="dxa"/>
        <w:tblLayout w:type="fixed"/>
        <w:tblCellMar>
          <w:top w:w="28" w:type="dxa"/>
          <w:left w:w="28" w:type="dxa"/>
          <w:bottom w:w="28" w:type="dxa"/>
          <w:right w:w="28" w:type="dxa"/>
        </w:tblCellMar>
      </w:tblPr>
      <w:tblGrid>
        <w:gridCol w:w="1617"/>
        <w:gridCol w:w="1424"/>
        <w:gridCol w:w="1429"/>
        <w:gridCol w:w="241"/>
        <w:gridCol w:w="806"/>
        <w:gridCol w:w="124"/>
        <w:gridCol w:w="124"/>
        <w:gridCol w:w="124"/>
        <w:gridCol w:w="124"/>
        <w:gridCol w:w="241"/>
        <w:gridCol w:w="738"/>
        <w:gridCol w:w="175"/>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(1,728)</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 from Operating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provided by (used in) operating activities reflect net income adjusted for certain non-cash items and changes in operating assets and liabilities.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the non-cash adjustments in the operating activities in the unaudited Condensed Statement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150"/>
                <wp:effectExtent l="0" t="0" r="0" b="0"/>
                <wp:wrapNone/>
                <wp:docPr id="29" name="Frame2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tbl>
      <w:tblPr>
        <w:tblW w:w="7482" w:type="dxa"/>
        <w:jc w:val="left"/>
        <w:tblInd w:w="0" w:type="dxa"/>
        <w:tblLayout w:type="fixed"/>
        <w:tblCellMar>
          <w:top w:w="28" w:type="dxa"/>
          <w:left w:w="28" w:type="dxa"/>
          <w:bottom w:w="28" w:type="dxa"/>
          <w:right w:w="28" w:type="dxa"/>
        </w:tblCellMar>
      </w:tblPr>
      <w:tblGrid>
        <w:gridCol w:w="1731"/>
        <w:gridCol w:w="1521"/>
        <w:gridCol w:w="1533"/>
        <w:gridCol w:w="241"/>
        <w:gridCol w:w="806"/>
        <w:gridCol w:w="124"/>
        <w:gridCol w:w="124"/>
        <w:gridCol w:w="124"/>
        <w:gridCol w:w="124"/>
        <w:gridCol w:w="241"/>
        <w:gridCol w:w="738"/>
        <w:gridCol w:w="175"/>
      </w:tblGrid>
      <w:tr>
        <w:trPr/>
        <w:tc>
          <w:tcPr>
            <w:tcW w:w="173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7,989</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adjustments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contract assets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(14,381)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excess profit share receipts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other assets and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provided by (used in) operating activities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(2,990)</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9,599</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six months ended June 30, 2025, net cash provided by (used in) operating activities decreased by $12.6 million, primarily attributable to decreased cash collections of $14.4 million related to reduced revenues, a $1.2 million decrease in interest income received and a $0.9 million decrease in income tax refunds. The decrease in cash provided by (used in) operating activities was partially offset by a $0.5 million decrease in cash payments related to cost of services and operating expenses, a $1.4 million reduction in interest expense paid during the period and a $2.0 million increase in working capital.</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 from Investing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the six months ended June 30, 2025 and 2024, net cash used in investing activities was $0.8 million and $1.7 million, respectively, primarily related to capitalized software development costs related to our cloud-based solution and other software developed for internal use.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 from Financing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used in financing activities primarily consist of payments of debt and share repurchases, and shares withheld to satisfy payroll tax withholding requirements associated with the vesting of restricted stock awards.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six months ended June 30, 2025, net cash used in financing activities was $8.8 million and includes $4.0 million in share repurchases, a $3.8 million principal payment on our Term Loan due 2027 and $1.1 million for shares withheld for payroll taxes associated with the vesting of restricted stock awards.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six months ended June 30, 2024, net cash used in financing activities was $2.1 million and included $1.1 million for shares withheld for taxes related to vesting of restricted stock awards and a $0.9 million principal payment on our Term Loan due 2027.</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Debt</w:t>
      </w:r>
    </w:p>
    <w:p>
      <w:pPr>
        <w:pStyle w:val="TextBody"/>
        <w:bidi w:val="0"/>
        <w:spacing w:lineRule="auto" w:line="288" w:before="120" w:after="283"/>
        <w:jc w:val="both"/>
        <w:rPr/>
      </w:pPr>
      <w:r>
        <w:rPr>
          <w:rFonts w:ascii="Arial;sans-serif" w:hAnsi="Arial;sans-serif"/>
          <w:b w:val="false"/>
          <w:color w:val="000000"/>
          <w:sz w:val="20"/>
        </w:rPr>
        <w:t>As of June 30, 2025, we had no amounts outstanding under the Revolving Credit Facility and $136.1 million outstanding under our Term Loan due 2027. Refer to Note 4</w:t>
      </w:r>
      <w:r>
        <w:rPr>
          <w:color w:val="000000"/>
        </w:rPr>
        <w:t>—</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for further discussion.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Share Repurchase Program, during the three months ended June 30, 2025, we repurchased 1,971,369 shares at an average price of $2.00 per share for a total of $4.0 million, excluding excise tax. These shares were recorded to Treasury stock, at cost 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Adjusted EBITDA and Adjusted EBITDA Margin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Adjusted EBITDA and Adjusted EBITDA margin are non-GAAP financial measures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These measures further provide useful analysis of period-to-period comparisons of our business, as they exclude the effect of certain non-cash items and certain variable charges.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Beginning in the quarter ended June 30, 2025, we have updated the presentation of Adjusted EBITDA to exclude interest income as we believe the exclusion of interest income aligns our definition with comparable companies. Prior periods presented below have been conformed to the current 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150"/>
                <wp:effectExtent l="0" t="0" r="0" b="0"/>
                <wp:wrapNone/>
                <wp:docPr id="30" name="Frame2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is defined as GAAP net income excluding interest expense, interest income, income tax expense, depreciation expense of property and equipment, amortization expense of capitalized software development costs and share-based compensation expense. Adjusted EBITDA margin is defined as Adjusted EBITDA expressed as a percentage of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a reconciliation of GAAP net income to Adjusted EBITDA for each of the periods indicated:</w:t>
      </w:r>
    </w:p>
    <w:tbl>
      <w:tblPr>
        <w:tblW w:w="9521" w:type="dxa"/>
        <w:jc w:val="center"/>
        <w:tblInd w:w="0" w:type="dxa"/>
        <w:tblLayout w:type="fixed"/>
        <w:tblCellMar>
          <w:top w:w="28" w:type="dxa"/>
          <w:left w:w="28" w:type="dxa"/>
          <w:bottom w:w="28" w:type="dxa"/>
          <w:right w:w="28" w:type="dxa"/>
        </w:tblCellMar>
      </w:tblPr>
      <w:tblGrid>
        <w:gridCol w:w="1262"/>
        <w:gridCol w:w="1114"/>
        <w:gridCol w:w="1119"/>
        <w:gridCol w:w="237"/>
        <w:gridCol w:w="727"/>
        <w:gridCol w:w="321"/>
        <w:gridCol w:w="122"/>
        <w:gridCol w:w="122"/>
        <w:gridCol w:w="122"/>
        <w:gridCol w:w="237"/>
        <w:gridCol w:w="727"/>
        <w:gridCol w:w="321"/>
        <w:gridCol w:w="109"/>
        <w:gridCol w:w="109"/>
        <w:gridCol w:w="109"/>
        <w:gridCol w:w="211"/>
        <w:gridCol w:w="646"/>
        <w:gridCol w:w="286"/>
        <w:gridCol w:w="109"/>
        <w:gridCol w:w="109"/>
        <w:gridCol w:w="109"/>
        <w:gridCol w:w="211"/>
        <w:gridCol w:w="751"/>
        <w:gridCol w:w="331"/>
      </w:tblGrid>
      <w:tr>
        <w:trPr/>
        <w:tc>
          <w:tcPr>
            <w:tcW w:w="126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w:t>
            </w:r>
          </w:p>
        </w:tc>
        <w:tc>
          <w:tcPr>
            <w:tcW w:w="2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6"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1,034</w:t>
            </w: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2,902</w:t>
            </w: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1,651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7,989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 expense,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adjustments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3,066</w:t>
            </w: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3,871</w:t>
            </w: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5,601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8,333</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4,100</w:t>
            </w: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6,773</w:t>
            </w: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7,252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16,322</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 margin</w:t>
            </w:r>
          </w:p>
        </w:tc>
        <w:tc>
          <w:tcPr>
            <w:tcW w:w="9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w:t>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w:t>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decrease in Adjusted EBITDA during the three and six months ended June 30, 2025 reflects our reduced revenue due to lower certified loan volume and and lower profit share unit economics as well as increased operating expenses during each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both"/>
        <w:rPr/>
      </w:pPr>
      <w:r>
        <w:rPr>
          <w:rFonts w:ascii="Arial;sans-serif" w:hAnsi="Arial;sans-serif"/>
          <w:b w:val="false"/>
          <w:color w:val="000000"/>
          <w:sz w:val="20"/>
        </w:rPr>
        <w:t>There have not been any material changes during the three and six months ended June 30, 2025 to the methodology applied by management for critical accounting policies previously disclosed in our Annual Report. Please refer to “</w:t>
      </w:r>
      <w:r>
        <w:rPr>
          <w:rFonts w:ascii="Arial;sans-serif" w:hAnsi="Arial;sans-serif"/>
          <w:b w:val="false"/>
          <w:i/>
          <w:color w:val="000000"/>
          <w:sz w:val="20"/>
        </w:rPr>
        <w:t>Part II, Item 7. Management’s Discussion and Analysis of Financial Condition and Results of Operations—Critical Accounting Policies and Estimates</w:t>
      </w:r>
      <w:r>
        <w:rPr>
          <w:color w:val="000000"/>
        </w:rPr>
        <w:t xml:space="preserve">” </w:t>
      </w:r>
      <w:r>
        <w:rPr>
          <w:rFonts w:ascii="Arial;sans-serif" w:hAnsi="Arial;sans-serif"/>
          <w:b w:val="false"/>
          <w:color w:val="000000"/>
          <w:sz w:val="20"/>
        </w:rPr>
        <w:t>in our Annual Report for further description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60" w:after="283"/>
        <w:jc w:val="both"/>
        <w:rPr/>
      </w:pPr>
      <w:r>
        <w:rPr>
          <w:rFonts w:ascii="Arial;sans-serif" w:hAnsi="Arial;sans-serif"/>
          <w:b w:val="false"/>
          <w:color w:val="000000"/>
          <w:sz w:val="20"/>
        </w:rPr>
        <w:t>Refer to Note 2—</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to the accompanying unaudited condensed consolidated financial statements for our discussion about new accounting pronouncements adopted and those pending.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Contractual and Other Obligations</w:t>
      </w:r>
    </w:p>
    <w:p>
      <w:pPr>
        <w:pStyle w:val="TextBody"/>
        <w:bidi w:val="0"/>
        <w:spacing w:lineRule="auto" w:line="288" w:before="120" w:after="283"/>
        <w:jc w:val="both"/>
        <w:rPr/>
      </w:pPr>
      <w:r>
        <w:rPr>
          <w:rFonts w:ascii="Arial;sans-serif" w:hAnsi="Arial;sans-serif"/>
          <w:b w:val="false"/>
          <w:color w:val="000000"/>
          <w:sz w:val="20"/>
        </w:rPr>
        <w:t>We had no material changes in our contractual commitments and obligations during the three and six months ended June 30, 2025 from the amounts listed under “</w:t>
      </w:r>
      <w:r>
        <w:rPr>
          <w:rFonts w:ascii="Arial;sans-serif" w:hAnsi="Arial;sans-serif"/>
          <w:b w:val="false"/>
          <w:i/>
          <w:color w:val="000000"/>
          <w:sz w:val="20"/>
        </w:rPr>
        <w:t>Part II, Item 7. Management’s Discussion and Analysis of Financial Condition and Results of Operations—Contractual Obligations</w:t>
      </w:r>
      <w:r>
        <w:rPr>
          <w:color w:val="000000"/>
        </w:rPr>
        <w:t xml:space="preserve">” </w:t>
      </w:r>
      <w:r>
        <w:rPr>
          <w:rFonts w:ascii="Arial;sans-serif" w:hAnsi="Arial;sans-serif"/>
          <w:b w:val="false"/>
          <w:color w:val="000000"/>
          <w:sz w:val="20"/>
        </w:rPr>
        <w:t>in our Annual Report.</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150"/>
                <wp:effectExtent l="0" t="0" r="0" b="0"/>
                <wp:wrapNone/>
                <wp:docPr id="31" name="Frame3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fluctuating interest rates, tariffs,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Concentration Risk</w:t>
      </w:r>
    </w:p>
    <w:p>
      <w:pPr>
        <w:pStyle w:val="TextBody"/>
        <w:bidi w:val="0"/>
        <w:spacing w:lineRule="auto" w:line="288" w:before="120" w:after="283"/>
        <w:jc w:val="both"/>
        <w:rPr/>
      </w:pPr>
      <w:r>
        <w:rPr>
          <w:rFonts w:ascii="Arial;sans-serif" w:hAnsi="Arial;sans-serif"/>
          <w:b w:val="false"/>
          <w:color w:val="000000"/>
          <w:sz w:val="20"/>
        </w:rPr>
        <w:t>We rely on our three active insurance partners for a significant portion of our profit share and claims administration service fee revenue. Termination or disruption of these relationships could materially and adversely impact our revenue. See “</w:t>
      </w:r>
      <w:r>
        <w:rPr>
          <w:rFonts w:ascii="Arial;sans-serif" w:hAnsi="Arial;sans-serif"/>
          <w:b w:val="false"/>
          <w:i/>
          <w:color w:val="000000"/>
          <w:sz w:val="20"/>
        </w:rPr>
        <w:t>Item 1A—Risk Factors—Risks Related to Our Business—If we lose one or more of our insurance carriers and are unable to replace their commitments, it could have a material adverse effect on our business</w:t>
      </w:r>
      <w:r>
        <w:rPr>
          <w:color w:val="000000"/>
        </w:rPr>
        <w:t xml:space="preserve">” </w:t>
      </w:r>
      <w:r>
        <w:rPr>
          <w:rFonts w:ascii="Arial;sans-serif" w:hAnsi="Arial;sans-serif"/>
          <w:b w:val="false"/>
          <w:color w:val="000000"/>
          <w:sz w:val="20"/>
        </w:rPr>
        <w:t xml:space="preserve">in our Annual Report.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earnings and cash flows are subject to fluctuations due to changes in interest rates on investment of available cash balances in money market funds and U.S. Treasury securities. Our Term loan due 2027 also exposes us to changes in short-term interest rates since interest rates on the underlying obligation are variable.</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As of June 30, 2025, we had outstanding amounts of $136.9 million under the Term Loan due 2027, which is scheduled to mature on September 9, 2027. There were no amounts outstanding under the Revolving Credit Facility as of June 30, 2025.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150"/>
                <wp:effectExtent l="0" t="0" r="0" b="0"/>
                <wp:wrapNone/>
                <wp:docPr id="32" name="Frame31"/>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principal financial officer concluded that, as of such date, our disclosure controls and procedures were effective at the reasonable assurance level.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150"/>
                <wp:effectExtent l="0" t="0" r="0" b="0"/>
                <wp:wrapNone/>
                <wp:docPr id="33" name="Frame3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Except as described herein, 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Shareholder Class Action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May 2025, a putative shareholder class action lawsuit was filed against the Company and our three former Chief Executive Officers in the U.S. District Court for the Western District of Texas. The class action is purportedly brought on behalf of persons who allegedly suffered damages as a result of alleged materially false and/or misleading statements and omissions about our business, operations, and prospects in violation of Sections 10(b) and 20(a) of the Exchange Act, and Rule 10b-5 promulgated thereunder. The complaint alleges that defendants: (1) misrepresented the capabilities of the Company’s risk-based pricing models; (2) issued materially misleading statements regarding the Company’s profit share revenue; (3) failed to disclose the Company’s 2021 and 2022 vintage loans had become worth significantly less than their corresponding outstanding loan balances; (4) misrepresented the underperformance of the Company’s 2023 and 2024 vintage loans; and (5) as a result of the foregoing, Defendants’ positive statements about the Company’s business, operations, and prospects were materially misleading and/or lacked a reasonable basis. Motions for appointment of lead plaintiff were due on June 30, 2025, and a lead plaintiff was appointed on July 17, 2025. We cannot predict the timing, outcome or consequences of the class action at the current stage. Moreover, involvement in securities litigation against us could result in substantial costs and divert management’s attention from other business concerns,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section supplements and updates certain of the information found under Part I, Item 1A. “Risk Factors” of our Annual Report, based on information currently known to us and recent developments since the date of the Annual Report filing. The matters discussed below should be read in conjunction with the risks described in Part I, Item 1A. “Risk Factors” of our Annual Report. However, the risks and uncertainties that we face are not limited to those described below and those set forth in the Annual Report. Additional risks and uncertainties not presently known to us or that we currently believe to be immaterial may also adversely affect our business, financial condition or future results.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Litigation, regulatory actions and compliance issues could subject us to significant fines, penalties, judgments, remediation costs and/or requirements resulting in increased expenses.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Our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we are also involved in, or the subject of, reviews, requests for information, investigations and proceedings (both formal and informal) by state and federal governmental agencies, including insurance regulators and the Department of Insurance of many states, regarding our business activities and our qualifications to conduct business in certain jurisdictions, which could subject us to significant fines, penalties, obligations to change business practices and other requirements resulting in increased expenses and diminished earnings. Our involvement in any such matter could also cause significant harm to our reputation and divert management attention from business operations,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addition, a number of participants in the consumer finance industry have been the subject of punitive class action lawsuits. For example, in May 2025, a putative shareholder class action lawsuit was filed against the Company and its three former Chief Executive Officers in the U.S. District Court for the Western District of Texas. The class action is purportedly brought on behalf of persons who allegedly suffered damages as a result of alleged materially false and/or misleading statements and omissions about the Company’s business, operations, and prospects in violation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150"/>
                <wp:effectExtent l="0" t="0" r="0" b="0"/>
                <wp:wrapNone/>
                <wp:docPr id="34" name="Frame3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of Sections 10(b) and 20(a) of the Exchange Act, and Rule 10b-5 promulgated thereunder. See Part II, Item 1, Legal Proceedings for further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Companies in the consumer finance industry have also been the subject of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 Such securities litigation could also give rise to perceived uncertainties as to our future, adversely affect our relationships with our partners and make it more difficult to attract and retain qualified personnel. Further, our stock price could be subject to significant fluctuation or otherwise be adversely affected by the events, risks and uncertainties related to any securities litigation.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business and, in turn, have a material adverse effect on our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we earned from the underlying activities. Similar risks exist for insurance producing and claims administration services, which are highly regulated.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from time to time, through our operational and compliance controls, we identify compliance issues that require us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us to additional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information with respect to our repurchases of shares of common stock during the three months ended June 30, 2025.</w:t>
      </w:r>
    </w:p>
    <w:tbl>
      <w:tblPr>
        <w:tblW w:w="10205" w:type="dxa"/>
        <w:jc w:val="left"/>
        <w:tblInd w:w="0" w:type="dxa"/>
        <w:tblLayout w:type="fixed"/>
        <w:tblCellMar>
          <w:top w:w="28" w:type="dxa"/>
          <w:left w:w="28" w:type="dxa"/>
          <w:bottom w:w="28" w:type="dxa"/>
          <w:right w:w="28" w:type="dxa"/>
        </w:tblCellMar>
      </w:tblPr>
      <w:tblGrid>
        <w:gridCol w:w="313"/>
        <w:gridCol w:w="274"/>
        <w:gridCol w:w="276"/>
        <w:gridCol w:w="109"/>
        <w:gridCol w:w="109"/>
        <w:gridCol w:w="109"/>
        <w:gridCol w:w="485"/>
        <w:gridCol w:w="485"/>
        <w:gridCol w:w="486"/>
        <w:gridCol w:w="109"/>
        <w:gridCol w:w="109"/>
        <w:gridCol w:w="109"/>
        <w:gridCol w:w="294"/>
        <w:gridCol w:w="755"/>
        <w:gridCol w:w="152"/>
        <w:gridCol w:w="109"/>
        <w:gridCol w:w="109"/>
        <w:gridCol w:w="109"/>
        <w:gridCol w:w="1024"/>
        <w:gridCol w:w="766"/>
        <w:gridCol w:w="768"/>
        <w:gridCol w:w="109"/>
        <w:gridCol w:w="109"/>
        <w:gridCol w:w="109"/>
        <w:gridCol w:w="653"/>
        <w:gridCol w:w="1678"/>
        <w:gridCol w:w="488"/>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 xml:space="preserve">Total number of shares purchased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 xml:space="preserve">Total number of shares purchased as part of publicly announced plans or programs </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 xml:space="preserve">Approximate dollar value of shares that may yet be purchased under the plans or programs (in millions) </w:t>
            </w:r>
            <w:r>
              <w:rPr>
                <w:rFonts w:ascii="Arial;sans-serif" w:hAnsi="Arial;sans-serif"/>
                <w:b/>
                <w:color w:val="000000"/>
                <w:sz w:val="12"/>
              </w:rPr>
              <w:t>(2)</w:t>
            </w:r>
          </w:p>
        </w:tc>
      </w:tr>
      <w:tr>
        <w:trPr/>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April 1 - 30,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1,133 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1 - 31,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2,018,739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1,971,369 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1 - 30,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2,125,311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1,971,369 </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vAlign w:val="center"/>
          </w:tcPr>
          <w:p>
            <w:pPr>
              <w:pStyle w:val="TableContents"/>
              <w:bidi w:val="0"/>
              <w:spacing w:before="0" w:after="283"/>
              <w:jc w:val="left"/>
              <w:rPr>
                <w:sz w:val="4"/>
                <w:szCs w:val="4"/>
              </w:rPr>
            </w:pPr>
            <w:r>
              <w:rPr>
                <w:sz w:val="4"/>
                <w:szCs w:val="4"/>
              </w:rPr>
            </w:r>
          </w:p>
        </w:tc>
        <w:tc>
          <w:tcPr>
            <w:tcW w:w="9342"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12"/>
        </w:rPr>
        <w:t xml:space="preserve">(1) </w:t>
      </w:r>
      <w:r>
        <w:rPr>
          <w:rFonts w:ascii="Arial;sans-serif" w:hAnsi="Arial;sans-serif"/>
          <w:b w:val="false"/>
          <w:color w:val="000000"/>
          <w:sz w:val="18"/>
        </w:rPr>
        <w:t>Includes shares purchased from employees to satisfy their payroll tax withholding obligations related to share-based awards that vested during those months.</w:t>
      </w:r>
    </w:p>
    <w:p>
      <w:pPr>
        <w:pStyle w:val="TextBody"/>
        <w:bidi w:val="0"/>
        <w:spacing w:lineRule="auto" w:line="288" w:before="60" w:after="283"/>
        <w:jc w:val="both"/>
        <w:rPr/>
      </w:pPr>
      <w:r>
        <w:rPr>
          <w:rFonts w:ascii="Arial;sans-serif" w:hAnsi="Arial;sans-serif"/>
          <w:b w:val="false"/>
          <w:color w:val="000000"/>
          <w:sz w:val="12"/>
        </w:rPr>
        <w:t xml:space="preserve">(2) </w:t>
      </w:r>
      <w:r>
        <w:rPr>
          <w:rFonts w:ascii="Arial;sans-serif" w:hAnsi="Arial;sans-serif"/>
          <w:b w:val="false"/>
          <w:color w:val="000000"/>
          <w:sz w:val="18"/>
        </w:rPr>
        <w:t>On May 1, 2025, our Board of Directors authorized share repurchases under the Share Repurchase Program for up to $25.0 million, effective through May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150"/>
                <wp:effectExtent l="0" t="0" r="0" b="0"/>
                <wp:wrapNone/>
                <wp:docPr id="35" name="Frame3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Insider Trading Arrangements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three months ended June 30, 2025,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150"/>
                <wp:effectExtent l="0" t="0" r="0" b="0"/>
                <wp:wrapNone/>
                <wp:docPr id="36" name="Frame3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73"/>
        <w:gridCol w:w="2620"/>
        <w:gridCol w:w="373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Arial;sans-serif" w:hAnsi="Arial;sans-serif"/>
                  <w:b w:val="false"/>
                  <w:color w:val="0000FF"/>
                  <w:sz w:val="20"/>
                  <w:u w:val="single"/>
                </w:rPr>
                <w:t>Amended and Restated Certificate of Incorporation of Open Lending Corporation (incorporated by reference to Exhibit 3.1 to Open Lending Corporation’s Current Report on Form 8-K filed June 15, 2020).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Arial;sans-serif" w:hAnsi="Arial;sans-serif"/>
                  <w:b w:val="false"/>
                  <w:color w:val="0000FF"/>
                  <w:sz w:val="20"/>
                  <w:u w:val="single"/>
                </w:rPr>
                <w:t>Amended and Restated Bylaws of Open Lending Corporation (incorporated by reference to Exhibit 3.2 to Open Lending Corporation’s Current Report on Form 8-K filed June 15, 2020).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80"/>
                  <w:sz w:val="20"/>
                  <w:u w:val="single"/>
                </w:rPr>
                <w:t>E</w:t>
              </w:r>
            </w:hyperlink>
            <w:hyperlink r:id="rId6">
              <w:r>
                <w:rPr>
                  <w:rStyle w:val="InternetLink"/>
                  <w:rFonts w:ascii="Arial;sans-serif" w:hAnsi="Arial;sans-serif"/>
                  <w:b w:val="false"/>
                  <w:color w:val="000080"/>
                  <w:sz w:val="20"/>
                  <w:u w:val="single"/>
                </w:rPr>
                <w:t>mployment Agreeme</w:t>
              </w:r>
            </w:hyperlink>
            <w:hyperlink r:id="rId7">
              <w:r>
                <w:rPr>
                  <w:rStyle w:val="InternetLink"/>
                  <w:rFonts w:ascii="Arial;sans-serif" w:hAnsi="Arial;sans-serif"/>
                  <w:b w:val="false"/>
                  <w:color w:val="000080"/>
                  <w:sz w:val="20"/>
                  <w:u w:val="single"/>
                </w:rPr>
                <w:t>nt by and between Open Lending Corporation</w:t>
              </w:r>
            </w:hyperlink>
            <w:hyperlink r:id="rId8">
              <w:r>
                <w:rPr>
                  <w:rStyle w:val="InternetLink"/>
                  <w:rFonts w:ascii="Arial;sans-serif" w:hAnsi="Arial;sans-serif"/>
                  <w:b w:val="false"/>
                  <w:color w:val="000080"/>
                  <w:sz w:val="20"/>
                  <w:u w:val="single"/>
                </w:rPr>
                <w:t xml:space="preserve"> and Massimo Monaco, dated July 21, 2025 (incorporated by reference to </w:t>
              </w:r>
            </w:hyperlink>
            <w:hyperlink r:id="rId9">
              <w:r>
                <w:rPr>
                  <w:rStyle w:val="InternetLink"/>
                  <w:rFonts w:ascii="Arial;sans-serif" w:hAnsi="Arial;sans-serif"/>
                  <w:b w:val="false"/>
                  <w:color w:val="000080"/>
                  <w:sz w:val="20"/>
                  <w:u w:val="single"/>
                </w:rPr>
                <w:t>Exhibit 10.1 to Open Lending Corporation</w:t>
              </w:r>
            </w:hyperlink>
            <w:hyperlink r:id="rId10">
              <w:r>
                <w:rPr>
                  <w:rStyle w:val="InternetLink"/>
                  <w:rFonts w:ascii="Arial;sans-serif" w:hAnsi="Arial;sans-serif"/>
                  <w:b w:val="false"/>
                  <w:color w:val="000080"/>
                  <w:sz w:val="20"/>
                  <w:u w:val="single"/>
                </w:rPr>
                <w:t>’</w:t>
              </w:r>
            </w:hyperlink>
            <w:hyperlink r:id="rId11">
              <w:r>
                <w:rPr>
                  <w:rStyle w:val="InternetLink"/>
                  <w:rFonts w:ascii="Arial;sans-serif" w:hAnsi="Arial;sans-serif"/>
                  <w:b w:val="false"/>
                  <w:color w:val="000080"/>
                  <w:sz w:val="20"/>
                  <w:u w:val="single"/>
                </w:rPr>
                <w:t xml:space="preserve">s Current Report on </w:t>
              </w:r>
            </w:hyperlink>
            <w:hyperlink r:id="rId12">
              <w:r>
                <w:rPr>
                  <w:rStyle w:val="InternetLink"/>
                  <w:rFonts w:ascii="Arial;sans-serif" w:hAnsi="Arial;sans-serif"/>
                  <w:b w:val="false"/>
                  <w:color w:val="000080"/>
                  <w:sz w:val="20"/>
                  <w:u w:val="single"/>
                </w:rPr>
                <w:t xml:space="preserve">Form 8-K filed July </w:t>
              </w:r>
            </w:hyperlink>
            <w:hyperlink r:id="rId13">
              <w:r>
                <w:rPr>
                  <w:rStyle w:val="InternetLink"/>
                  <w:rFonts w:ascii="Arial;sans-serif" w:hAnsi="Arial;sans-serif"/>
                  <w:b w:val="false"/>
                  <w:color w:val="000080"/>
                  <w:sz w:val="20"/>
                  <w:u w:val="single"/>
                </w:rPr>
                <w:t>24</w:t>
              </w:r>
            </w:hyperlink>
            <w:hyperlink r:id="rId14">
              <w:r>
                <w:rPr>
                  <w:rStyle w:val="InternetLink"/>
                  <w:rFonts w:ascii="Arial;sans-serif" w:hAnsi="Arial;sans-serif"/>
                  <w:b w:val="false"/>
                  <w:color w:val="000080"/>
                  <w:sz w:val="20"/>
                  <w:u w:val="single"/>
                </w:rPr>
                <w:t>, 2025).</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50630ex311.htm">
              <w:r>
                <w:rPr>
                  <w:rStyle w:val="InternetLink"/>
                  <w:rFonts w:ascii="Arial;sans-serif" w:hAnsi="Arial;sans-serif"/>
                  <w:b w:val="false"/>
                  <w:color w:val="0000FF"/>
                  <w:sz w:val="20"/>
                  <w:u w:val="single"/>
                </w:rPr>
                <w:t>Certification of the Chief Executive Officer and Principal Financial Officer pursuant to Section 302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50630ex321.htm">
              <w:r>
                <w:rPr>
                  <w:rStyle w:val="InternetLink"/>
                  <w:rFonts w:ascii="Arial;sans-serif" w:hAnsi="Arial;sans-serif"/>
                  <w:b w:val="false"/>
                  <w:color w:val="0000FF"/>
                  <w:sz w:val="20"/>
                  <w:u w:val="single"/>
                </w:rPr>
                <w:t>Certification of the Chief Executive Officer and Principal Financial Officer pursuant to Section 906 of the Sarbanes-Oxley Act of 2002 (18 U.S.C. § 1350).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financial statements from Open Lending Corporation’s Quarterly Report on Form 10-Q for the quarterly period ended June 30, 2025, formatted in iXBRL (Inline eXtensible Business Reporting Language):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 Condensed Consolidated Balance Sheets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 Condensed Consolidated Statement of Operations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(iii) Condensed Consolidated Statements of Changes in Stockholders’ Equity</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(iv) Condensed Consolidated Statements of Cash Flows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 Notes to Condensed Consolidated Financial Statements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r>
    </w:tbl>
    <w:p>
      <w:pPr>
        <w:pStyle w:val="TextBody"/>
        <w:bidi w:val="0"/>
        <w:spacing w:before="60" w:after="283"/>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60" w:after="283"/>
        <w:jc w:val="both"/>
        <w:rPr/>
      </w:pPr>
      <w:hyperlink w:anchor="idb3febd1cf3c450d99ad684e4a3c44a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345" w:type="dxa"/>
        <w:jc w:val="left"/>
        <w:tblInd w:w="0" w:type="dxa"/>
        <w:tblLayout w:type="fixed"/>
        <w:tblCellMar>
          <w:top w:w="28" w:type="dxa"/>
          <w:left w:w="28" w:type="dxa"/>
          <w:bottom w:w="28" w:type="dxa"/>
          <w:right w:w="28" w:type="dxa"/>
        </w:tblCellMar>
      </w:tblPr>
      <w:tblGrid>
        <w:gridCol w:w="520"/>
        <w:gridCol w:w="458"/>
        <w:gridCol w:w="462"/>
        <w:gridCol w:w="1437"/>
        <w:gridCol w:w="1437"/>
        <w:gridCol w:w="203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OPEN LENDING CORPORATION</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7, 2025</w:t>
            </w:r>
          </w:p>
        </w:tc>
        <w:tc>
          <w:tcPr>
            <w:tcW w:w="4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Executive, Financial and Accounting Officer)</w:t>
            </w:r>
          </w:p>
        </w:tc>
      </w:tr>
    </w:tbl>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150"/>
                <wp:effectExtent l="0" t="0" r="0" b="0"/>
                <wp:wrapNone/>
                <wp:docPr id="38" name="Frame3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Jessica Buss,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6870" w:type="dxa"/>
        <w:jc w:val="left"/>
        <w:tblInd w:w="0" w:type="dxa"/>
        <w:tblLayout w:type="fixed"/>
        <w:tblCellMar>
          <w:top w:w="28" w:type="dxa"/>
          <w:left w:w="28" w:type="dxa"/>
          <w:bottom w:w="28" w:type="dxa"/>
          <w:right w:w="28" w:type="dxa"/>
        </w:tblCellMar>
      </w:tblPr>
      <w:tblGrid>
        <w:gridCol w:w="711"/>
        <w:gridCol w:w="624"/>
        <w:gridCol w:w="630"/>
        <w:gridCol w:w="1436"/>
        <w:gridCol w:w="1436"/>
        <w:gridCol w:w="203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7, 2025</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for the quarter ended June 30, 2025 of Open Lending Corporation, a Delaware corporation (the “Company”), as filed with the Securities and Exchange Commission on the date hereof (the “Form 10-Q”), I, Jessica Buss, Chief Executive Officer and principal financial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10-Q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10-Q fairly presents, in all material respects, the financial condition and result of operations of the Company.</w:t>
      </w:r>
    </w:p>
    <w:tbl>
      <w:tblPr>
        <w:tblW w:w="5247" w:type="dxa"/>
        <w:jc w:val="left"/>
        <w:tblInd w:w="0" w:type="dxa"/>
        <w:tblLayout w:type="fixed"/>
        <w:tblCellMar>
          <w:top w:w="28" w:type="dxa"/>
          <w:left w:w="28" w:type="dxa"/>
          <w:bottom w:w="28" w:type="dxa"/>
          <w:right w:w="28" w:type="dxa"/>
        </w:tblCellMar>
      </w:tblPr>
      <w:tblGrid>
        <w:gridCol w:w="124"/>
        <w:gridCol w:w="109"/>
        <w:gridCol w:w="109"/>
        <w:gridCol w:w="1436"/>
        <w:gridCol w:w="1436"/>
        <w:gridCol w:w="20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7, 2025</w:t>
            </w:r>
          </w:p>
        </w:tc>
      </w:tr>
    </w:tbl>
    <w:p>
      <w:pPr>
        <w:pStyle w:val="TextBody"/>
        <w:bidi w:val="0"/>
        <w:spacing w:before="24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roxima Nov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6201/000119312520169633/d941403dex31.htm" TargetMode="External"/><Relationship Id="rId4" Type="http://schemas.openxmlformats.org/officeDocument/2006/relationships/hyperlink" Target="https://www.sec.gov/Archives/edgar/data/1806201/000119312520169633/d941403dex32.htm" TargetMode="External"/><Relationship Id="rId5" Type="http://schemas.openxmlformats.org/officeDocument/2006/relationships/hyperlink" Target="https://www.sec.gov/Archives/edgar/data/1806201/000180620125000076/lpro-20250721ex101.htm" TargetMode="External"/><Relationship Id="rId6" Type="http://schemas.openxmlformats.org/officeDocument/2006/relationships/hyperlink" Target="https://www.sec.gov/Archives/edgar/data/1806201/000180620125000076/lpro-20250721ex101.htm" TargetMode="External"/><Relationship Id="rId7" Type="http://schemas.openxmlformats.org/officeDocument/2006/relationships/hyperlink" Target="https://www.sec.gov/Archives/edgar/data/1806201/000180620125000076/lpro-20250721ex101.htm" TargetMode="External"/><Relationship Id="rId8" Type="http://schemas.openxmlformats.org/officeDocument/2006/relationships/hyperlink" Target="https://www.sec.gov/Archives/edgar/data/1806201/000180620125000076/lpro-20250721ex101.htm" TargetMode="External"/><Relationship Id="rId9" Type="http://schemas.openxmlformats.org/officeDocument/2006/relationships/hyperlink" Target="https://www.sec.gov/Archives/edgar/data/1806201/000180620125000076/lpro-20250721ex101.htm" TargetMode="External"/><Relationship Id="rId10" Type="http://schemas.openxmlformats.org/officeDocument/2006/relationships/hyperlink" Target="https://www.sec.gov/Archives/edgar/data/1806201/000180620125000076/lpro-20250721ex101.htm" TargetMode="External"/><Relationship Id="rId11" Type="http://schemas.openxmlformats.org/officeDocument/2006/relationships/hyperlink" Target="https://www.sec.gov/Archives/edgar/data/1806201/000180620125000076/lpro-20250721ex101.htm" TargetMode="External"/><Relationship Id="rId12" Type="http://schemas.openxmlformats.org/officeDocument/2006/relationships/hyperlink" Target="https://www.sec.gov/Archives/edgar/data/1806201/000180620125000076/lpro-20250721ex101.htm" TargetMode="External"/><Relationship Id="rId13" Type="http://schemas.openxmlformats.org/officeDocument/2006/relationships/hyperlink" Target="https://www.sec.gov/Archives/edgar/data/1806201/000180620125000076/lpro-20250721ex101.htm" TargetMode="External"/><Relationship Id="rId14" Type="http://schemas.openxmlformats.org/officeDocument/2006/relationships/hyperlink" Target="https://www.sec.gov/Archives/edgar/data/1806201/000180620125000076/lpro-20250721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15809</Words>
  <Characters>87807</Characters>
  <CharactersWithSpaces>102319</CharactersWithSpaces>
  <Paragraphs>2112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